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514D" w14:textId="77777777" w:rsidR="00F422DA" w:rsidRDefault="00292390">
      <w:pPr>
        <w:rPr>
          <w:b/>
        </w:rPr>
      </w:pPr>
      <w:r>
        <w:rPr>
          <w:b/>
        </w:rPr>
        <w:t>PLIR 4440. Domestic Politics and American Foreign Policy</w:t>
      </w:r>
    </w:p>
    <w:p w14:paraId="1C23B1A5" w14:textId="01AAC0B2" w:rsidR="00292390" w:rsidRDefault="00292390">
      <w:pPr>
        <w:rPr>
          <w:b/>
        </w:rPr>
      </w:pPr>
      <w:r>
        <w:rPr>
          <w:b/>
        </w:rPr>
        <w:t>Fall 2013.</w:t>
      </w:r>
      <w:r w:rsidR="00D96D05">
        <w:rPr>
          <w:b/>
        </w:rPr>
        <w:t xml:space="preserve"> Tuesdays, 1-3:30 pm. Gibson 241</w:t>
      </w:r>
    </w:p>
    <w:p w14:paraId="2062DA0A" w14:textId="77777777" w:rsidR="00292390" w:rsidRDefault="00292390">
      <w:pPr>
        <w:rPr>
          <w:b/>
        </w:rPr>
      </w:pPr>
      <w:r>
        <w:rPr>
          <w:b/>
        </w:rPr>
        <w:t>Mr. Lynch</w:t>
      </w:r>
    </w:p>
    <w:p w14:paraId="0B5375F9" w14:textId="77777777" w:rsidR="00292390" w:rsidRDefault="00292390">
      <w:pPr>
        <w:rPr>
          <w:b/>
        </w:rPr>
      </w:pPr>
      <w:r>
        <w:rPr>
          <w:b/>
        </w:rPr>
        <w:t>Office hours: Tuesdays &amp; Thursdays, 3:35-4:45 (Gibson 397)</w:t>
      </w:r>
    </w:p>
    <w:p w14:paraId="0EAF0C96" w14:textId="77777777" w:rsidR="00D96D05" w:rsidRDefault="00D96D05">
      <w:pPr>
        <w:rPr>
          <w:b/>
        </w:rPr>
      </w:pPr>
    </w:p>
    <w:p w14:paraId="39F7D072" w14:textId="4246A1D4" w:rsidR="00D96D05" w:rsidRDefault="00D96D05" w:rsidP="00D96D05">
      <w:r>
        <w:t>This course analyzes the relationship between U.S. domestic and U.S. foreign policy from several perspectives: conceptual, historical and topical. Students will be required to: (1) submit a formal resear</w:t>
      </w:r>
      <w:r>
        <w:t>ch proposal, due on September 24</w:t>
      </w:r>
      <w:r w:rsidRPr="00646B9B">
        <w:rPr>
          <w:vertAlign w:val="superscript"/>
        </w:rPr>
        <w:t>th</w:t>
      </w:r>
      <w:r>
        <w:t xml:space="preserve">; (2) write </w:t>
      </w:r>
      <w:r>
        <w:t>a take-home analytical essay</w:t>
      </w:r>
      <w:r>
        <w:t xml:space="preserve">, </w:t>
      </w:r>
      <w:r>
        <w:t xml:space="preserve">due in class </w:t>
      </w:r>
      <w:r>
        <w:t>on Octob</w:t>
      </w:r>
      <w:r>
        <w:t>er 22nd</w:t>
      </w:r>
      <w:r>
        <w:t>; (3) submit a 15-20 page research paper analyzing the relative influence of domestic factors on some aspect of U.S. f</w:t>
      </w:r>
      <w:r>
        <w:t>oreign policy, due on December 3rd</w:t>
      </w:r>
      <w:r>
        <w:t>; and (4) write a final take-home es</w:t>
      </w:r>
      <w:r w:rsidR="00013321">
        <w:t>say, which is due on December 10</w:t>
      </w:r>
      <w:r>
        <w:t>th by 5 p.m. The mid-term essay and final essay will each count as 25% of the final grade; the research paper, which includes the formal research proposal, will count as 50%.</w:t>
      </w:r>
    </w:p>
    <w:p w14:paraId="7304677F" w14:textId="77777777" w:rsidR="00D96D05" w:rsidRDefault="00D96D05" w:rsidP="00D96D05"/>
    <w:p w14:paraId="0B037B49" w14:textId="77777777" w:rsidR="00D96D05" w:rsidRDefault="00D96D05" w:rsidP="00D96D05">
      <w:r>
        <w:t xml:space="preserve">I shall read one draft of your research paper and return it with comments (and without a grade) before final submission. </w:t>
      </w:r>
    </w:p>
    <w:p w14:paraId="1F9D54A5" w14:textId="77777777" w:rsidR="00D96D05" w:rsidRDefault="00D96D05" w:rsidP="00D96D05"/>
    <w:p w14:paraId="71C50F76" w14:textId="4F93E227" w:rsidR="00D96D05" w:rsidRDefault="00D96D05" w:rsidP="00D96D05">
      <w:r>
        <w:t xml:space="preserve">Active class participation is essential to this course and will be factored into the final grade. </w:t>
      </w:r>
      <w:r w:rsidR="00770897">
        <w:t>Students will be making brief formal presentations on the readings and their research projects; details will be discussed at the first class.</w:t>
      </w:r>
    </w:p>
    <w:p w14:paraId="2FEF13AF" w14:textId="77777777" w:rsidR="00D96D05" w:rsidRDefault="00D96D05" w:rsidP="00D96D05"/>
    <w:p w14:paraId="01D2F71F" w14:textId="77777777" w:rsidR="00D96D05" w:rsidRDefault="00D96D05" w:rsidP="00D96D05">
      <w:r>
        <w:t xml:space="preserve">Students’ written work will be evaluated on the basis of the following criteria: degree of command of presentations and readings; degree of incisiveness and coherence of analysis; soundness and originality of judgment; as well as facility of expression in written English. </w:t>
      </w:r>
    </w:p>
    <w:p w14:paraId="155F0BDF" w14:textId="77777777" w:rsidR="00D96D05" w:rsidRDefault="00D96D05" w:rsidP="00D96D05"/>
    <w:p w14:paraId="7A5738E9" w14:textId="77777777" w:rsidR="00D96D05" w:rsidRDefault="00D96D05" w:rsidP="00D96D05"/>
    <w:p w14:paraId="7F2F3DC0" w14:textId="77777777" w:rsidR="00D96D05" w:rsidRDefault="00D96D05" w:rsidP="00D96D05">
      <w:r>
        <w:t xml:space="preserve">Please note that the grade of “B” denotes “good” work. </w:t>
      </w:r>
    </w:p>
    <w:p w14:paraId="6C829881" w14:textId="77777777" w:rsidR="00D96D05" w:rsidRDefault="00D96D05">
      <w:pPr>
        <w:rPr>
          <w:b/>
        </w:rPr>
      </w:pPr>
    </w:p>
    <w:p w14:paraId="1BE177BF" w14:textId="77777777" w:rsidR="00292390" w:rsidRDefault="00292390">
      <w:pPr>
        <w:rPr>
          <w:b/>
        </w:rPr>
      </w:pPr>
    </w:p>
    <w:p w14:paraId="33BBAD42" w14:textId="77777777" w:rsidR="00292390" w:rsidRDefault="007C5C49">
      <w:r>
        <w:rPr>
          <w:b/>
        </w:rPr>
        <w:t>Books Ordered for Purchase:</w:t>
      </w:r>
    </w:p>
    <w:p w14:paraId="41F292C5" w14:textId="77777777" w:rsidR="007C5C49" w:rsidRDefault="007C5C49"/>
    <w:p w14:paraId="11F56896" w14:textId="77777777" w:rsidR="007C5C49" w:rsidRDefault="007C5C49">
      <w:r>
        <w:t>1. Richard van Alstyne, “The Rising American Empire”</w:t>
      </w:r>
    </w:p>
    <w:p w14:paraId="0EB9EDE1" w14:textId="6524F6A9" w:rsidR="007C5C49" w:rsidRDefault="007C5C49">
      <w:r>
        <w:t>2. Jon Western, “Selling Intervention and War</w:t>
      </w:r>
      <w:r w:rsidR="00C466C8">
        <w:t xml:space="preserve">: the Presidency, the Media, and the </w:t>
      </w:r>
      <w:r w:rsidR="00C466C8">
        <w:tab/>
        <w:t>American Public</w:t>
      </w:r>
      <w:r>
        <w:t>”</w:t>
      </w:r>
    </w:p>
    <w:p w14:paraId="0DE78ABC" w14:textId="77777777" w:rsidR="007C5C49" w:rsidRDefault="007C5C49">
      <w:r>
        <w:t>3. Melvin Small, “Democracy and Diplomacy”</w:t>
      </w:r>
    </w:p>
    <w:p w14:paraId="06C21868" w14:textId="7F8D1224" w:rsidR="007C5C49" w:rsidRDefault="007C5C49">
      <w:r>
        <w:t>4. Tony Smith, “Foreign Attachments</w:t>
      </w:r>
      <w:r w:rsidR="00C466C8">
        <w:t xml:space="preserve">: The Power of Ethnic Groups in the Making of </w:t>
      </w:r>
      <w:r w:rsidR="00C466C8">
        <w:tab/>
      </w:r>
      <w:r w:rsidR="00C466C8">
        <w:tab/>
        <w:t>American Foreign Policy</w:t>
      </w:r>
      <w:r>
        <w:t>”</w:t>
      </w:r>
    </w:p>
    <w:p w14:paraId="5F2EF38B" w14:textId="77777777" w:rsidR="007C5C49" w:rsidRDefault="007C5C49">
      <w:r>
        <w:t>5. Stephen M. Griffin, “Long Wars and the Constitution”</w:t>
      </w:r>
    </w:p>
    <w:p w14:paraId="27420A51" w14:textId="77777777" w:rsidR="007C5C49" w:rsidRDefault="007C5C49">
      <w:r>
        <w:t>6. Vali Nasr, “The Dispensable Nation: American Foreign Policy in Retreat”</w:t>
      </w:r>
    </w:p>
    <w:p w14:paraId="2B9291B4" w14:textId="4DF4D1C2" w:rsidR="007C5C49" w:rsidRDefault="007C5C49">
      <w:r>
        <w:tab/>
        <w:t>(Ins</w:t>
      </w:r>
      <w:r w:rsidR="00C466C8">
        <w:t>tead of Nasr, students may read</w:t>
      </w:r>
      <w:r>
        <w:t xml:space="preserve"> James Mann, “The Obamians: The </w:t>
      </w:r>
      <w:r>
        <w:tab/>
        <w:t>Struggle Inside the Obama White House to Redefine American Power</w:t>
      </w:r>
      <w:r w:rsidR="00C466C8">
        <w:t xml:space="preserve">,” which </w:t>
      </w:r>
      <w:r w:rsidR="00C466C8">
        <w:tab/>
        <w:t>is easily available for purchase on-line.</w:t>
      </w:r>
      <w:r>
        <w:t>)</w:t>
      </w:r>
    </w:p>
    <w:p w14:paraId="30EC7CC9" w14:textId="77777777" w:rsidR="007C5C49" w:rsidRDefault="007C5C49"/>
    <w:p w14:paraId="7B7BEF0D" w14:textId="77777777" w:rsidR="007C5C49" w:rsidRDefault="007C5C49">
      <w:r>
        <w:lastRenderedPageBreak/>
        <w:t xml:space="preserve">All other readings are available on Collab. Supreme Court cases may be found at: </w:t>
      </w:r>
      <w:hyperlink r:id="rId7" w:history="1">
        <w:r w:rsidRPr="00FC0A15">
          <w:rPr>
            <w:rStyle w:val="Hyperlink"/>
          </w:rPr>
          <w:t>www.supremejustia.com</w:t>
        </w:r>
      </w:hyperlink>
      <w:r>
        <w:t xml:space="preserve">. Just type in the name of the given case (e.g., Korematsu v. the United States). </w:t>
      </w:r>
    </w:p>
    <w:p w14:paraId="441FE41B" w14:textId="77777777" w:rsidR="00C466C8" w:rsidRDefault="00C466C8"/>
    <w:p w14:paraId="2ABB08C0" w14:textId="77777777" w:rsidR="00013321" w:rsidRDefault="00013321">
      <w:bookmarkStart w:id="0" w:name="_GoBack"/>
      <w:bookmarkEnd w:id="0"/>
    </w:p>
    <w:p w14:paraId="167EB77A" w14:textId="16518ABB" w:rsidR="00C466C8" w:rsidRDefault="00C466C8">
      <w:r>
        <w:rPr>
          <w:b/>
          <w:u w:val="single"/>
        </w:rPr>
        <w:t>Schedule of Classes</w:t>
      </w:r>
    </w:p>
    <w:p w14:paraId="5143DF61" w14:textId="77777777" w:rsidR="00C466C8" w:rsidRDefault="00C466C8"/>
    <w:p w14:paraId="33DD75F7" w14:textId="62422765" w:rsidR="00C466C8" w:rsidRDefault="00C466C8">
      <w:r>
        <w:t>8/27. Introduction. Why this Course? Procedures.</w:t>
      </w:r>
    </w:p>
    <w:p w14:paraId="52034385" w14:textId="77777777" w:rsidR="00C466C8" w:rsidRDefault="00C466C8"/>
    <w:p w14:paraId="1EEE44FB" w14:textId="62918DAF" w:rsidR="00C466C8" w:rsidRDefault="00C466C8">
      <w:r>
        <w:t>9/3. Historical Patterns.</w:t>
      </w:r>
    </w:p>
    <w:p w14:paraId="35D90B41" w14:textId="4AE301C1" w:rsidR="00C466C8" w:rsidRDefault="00C466C8">
      <w:r>
        <w:t>Van Alstyne, 1-99; Small, 1-15; Zakaria, “From Wealth to Power” (Collab, hereafter, “C”).</w:t>
      </w:r>
    </w:p>
    <w:p w14:paraId="0E0E0503" w14:textId="77777777" w:rsidR="00C466C8" w:rsidRDefault="00C466C8"/>
    <w:p w14:paraId="01C735C3" w14:textId="3712F503" w:rsidR="00C466C8" w:rsidRDefault="00C466C8">
      <w:r>
        <w:t>9/10. Ideological &amp; Cultural Influences.</w:t>
      </w:r>
    </w:p>
    <w:p w14:paraId="52663BDA" w14:textId="537CE1FB" w:rsidR="00C466C8" w:rsidRDefault="00C466C8">
      <w:r>
        <w:t>Van Alstyne, 100-205; Smith, 1-46; Yoo, “Prerogative: the 18</w:t>
      </w:r>
      <w:r w:rsidRPr="00C466C8">
        <w:rPr>
          <w:vertAlign w:val="superscript"/>
        </w:rPr>
        <w:t>th</w:t>
      </w:r>
      <w:r>
        <w:t xml:space="preserve"> Century Anglo-American Constitution and Foreign Affairs” (C)</w:t>
      </w:r>
      <w:r w:rsidR="00CA080F">
        <w:t>.</w:t>
      </w:r>
    </w:p>
    <w:p w14:paraId="7F9A09F4" w14:textId="77777777" w:rsidR="00CA080F" w:rsidRDefault="00CA080F"/>
    <w:p w14:paraId="78F63C43" w14:textId="6447538E" w:rsidR="00CA080F" w:rsidRDefault="00CA080F">
      <w:r>
        <w:t>9/17. The Constitutional Framework.</w:t>
      </w:r>
    </w:p>
    <w:p w14:paraId="1972CDA1" w14:textId="7181DA4E" w:rsidR="00CA080F" w:rsidRDefault="00CA080F">
      <w:r>
        <w:t>Warburg, “Conflict and Consensus” (C); Stevenson, “The Neutrality Declaration of 1793” (C); Walton, “The Early Years” (C); Henkin, “The Congress” (C); Corwin, “The National Executive Power” (C)</w:t>
      </w:r>
      <w:r w:rsidR="004F295A">
        <w:t>; Griffin, 11-59</w:t>
      </w:r>
      <w:r>
        <w:t>.</w:t>
      </w:r>
    </w:p>
    <w:p w14:paraId="0ACE8035" w14:textId="77777777" w:rsidR="00CA080F" w:rsidRDefault="00CA080F"/>
    <w:p w14:paraId="11474149" w14:textId="77777777" w:rsidR="004F295A" w:rsidRDefault="00CA080F">
      <w:r>
        <w:t>Supreme Court Cases: Bas v. Tingy (1800), concerning undeclared war; US v Curtiss-Wright (1936), concerning the partial extra-constitutionality of the national foreign affairs power.</w:t>
      </w:r>
    </w:p>
    <w:p w14:paraId="2345C1A4" w14:textId="77777777" w:rsidR="004F295A" w:rsidRDefault="004F295A"/>
    <w:p w14:paraId="46228579" w14:textId="77777777" w:rsidR="004F295A" w:rsidRDefault="004F295A">
      <w:r>
        <w:t>9/24. The War Power.</w:t>
      </w:r>
    </w:p>
    <w:p w14:paraId="5260D95F" w14:textId="287595D6" w:rsidR="00D96D05" w:rsidRDefault="004F295A">
      <w:r>
        <w:t xml:space="preserve">Griffin, 59-193. </w:t>
      </w:r>
      <w:r w:rsidR="00CA080F">
        <w:t xml:space="preserve"> </w:t>
      </w:r>
    </w:p>
    <w:p w14:paraId="687FFDA2" w14:textId="4848B5DC" w:rsidR="00D96D05" w:rsidRPr="00D96D05" w:rsidRDefault="00D96D05">
      <w:pPr>
        <w:rPr>
          <w:b/>
          <w:i/>
        </w:rPr>
      </w:pPr>
      <w:r w:rsidRPr="00D96D05">
        <w:rPr>
          <w:b/>
          <w:i/>
        </w:rPr>
        <w:t>Formal written research proposal is due in class.</w:t>
      </w:r>
    </w:p>
    <w:p w14:paraId="1DA0D6B4" w14:textId="77777777" w:rsidR="004F295A" w:rsidRDefault="004F295A"/>
    <w:p w14:paraId="3E596E50" w14:textId="30386226" w:rsidR="004F295A" w:rsidRDefault="004F295A">
      <w:r>
        <w:t>10/1. National Security and Individual Rights.</w:t>
      </w:r>
    </w:p>
    <w:p w14:paraId="07E9D260" w14:textId="4CFA92EA" w:rsidR="004F295A" w:rsidRDefault="004F295A">
      <w:r>
        <w:t>Griffin, 194-275.</w:t>
      </w:r>
    </w:p>
    <w:p w14:paraId="7E1A2B43" w14:textId="77777777" w:rsidR="004F295A" w:rsidRDefault="004F295A"/>
    <w:p w14:paraId="43E2F24D" w14:textId="377A64D8" w:rsidR="004F295A" w:rsidRDefault="004F295A">
      <w:r>
        <w:t>Supreme Court Cases: Schenk v. US (1919), concerning restrictions on speech during wartime; Korematsu v. US (1944), concerning mass internment without due process during wartime; Hamdi v. Rumsfeld (2004) &amp; Padilla v. Hanft (2006), concerning habeas corpus and due process in the context of the war on terror.</w:t>
      </w:r>
    </w:p>
    <w:p w14:paraId="344E4DB6" w14:textId="77777777" w:rsidR="007F0EAD" w:rsidRDefault="007F0EAD"/>
    <w:p w14:paraId="3B0807A6" w14:textId="0FDE797F" w:rsidR="007F0EAD" w:rsidRDefault="007F0EAD">
      <w:r>
        <w:t>10/8. Public Opinion and Interest Groups.</w:t>
      </w:r>
    </w:p>
    <w:p w14:paraId="3E1A3E8D" w14:textId="69DC74E0" w:rsidR="007F0EAD" w:rsidRDefault="007F0EAD">
      <w:r>
        <w:t>Western, 1-25, 220-234; Smith, 47-129; Wiarda, “American Foreign Policy</w:t>
      </w:r>
      <w:r w:rsidR="00A83F8A">
        <w:t>: Actors and Processes” (C); Quandt, “The Electoral Cycle” (C).</w:t>
      </w:r>
    </w:p>
    <w:p w14:paraId="4201EF36" w14:textId="5F42B47F" w:rsidR="00D96D05" w:rsidRPr="00D96D05" w:rsidRDefault="00D96D05">
      <w:pPr>
        <w:rPr>
          <w:b/>
          <w:i/>
        </w:rPr>
      </w:pPr>
      <w:r w:rsidRPr="00D96D05">
        <w:rPr>
          <w:b/>
          <w:i/>
        </w:rPr>
        <w:t>Take-home essay to be assigned.</w:t>
      </w:r>
    </w:p>
    <w:p w14:paraId="6C613FE0" w14:textId="77777777" w:rsidR="00A83F8A" w:rsidRDefault="00A83F8A"/>
    <w:p w14:paraId="497CA2FF" w14:textId="2402CD32" w:rsidR="00A83F8A" w:rsidRDefault="00A83F8A">
      <w:r>
        <w:t>10/22. The Challenge of Globalism: Wilson and FDR.</w:t>
      </w:r>
    </w:p>
    <w:p w14:paraId="4D85E083" w14:textId="4A414372" w:rsidR="00A83F8A" w:rsidRDefault="00A83F8A">
      <w:r>
        <w:t xml:space="preserve">Small, 26-79; John Milton Cooper, “Breaking the Heart of the World,” at: </w:t>
      </w:r>
      <w:hyperlink r:id="rId8" w:history="1">
        <w:r w:rsidRPr="00FC0A15">
          <w:rPr>
            <w:rStyle w:val="Hyperlink"/>
          </w:rPr>
          <w:t>http://www.pbs.org/wgbh/amex/wilson/filmmore/fr_cooper.html</w:t>
        </w:r>
      </w:hyperlink>
      <w:r>
        <w:t xml:space="preserve">; “Woodrow Wilson and the League of Nations,” at: </w:t>
      </w:r>
      <w:hyperlink r:id="rId9" w:anchor="4" w:history="1">
        <w:r w:rsidRPr="00FC0A15">
          <w:rPr>
            <w:rStyle w:val="Hyperlink"/>
          </w:rPr>
          <w:t>www.san.beck.org/GPJ21-LeagueofNations.html#4</w:t>
        </w:r>
      </w:hyperlink>
      <w:r>
        <w:t>; Cole, “Roosevelt and the Isolationsists,” pts 1-3 (C); Holsti, “The 1940 Destroyer Deal with Britain,” (C); review Griffin, 52-71.</w:t>
      </w:r>
    </w:p>
    <w:p w14:paraId="1D1349BA" w14:textId="08001308" w:rsidR="00D96D05" w:rsidRPr="00D96D05" w:rsidRDefault="00D96D05">
      <w:pPr>
        <w:rPr>
          <w:b/>
          <w:i/>
        </w:rPr>
      </w:pPr>
      <w:r>
        <w:rPr>
          <w:b/>
          <w:i/>
        </w:rPr>
        <w:t>Take-home essay due in class.</w:t>
      </w:r>
    </w:p>
    <w:p w14:paraId="4A661BB1" w14:textId="77777777" w:rsidR="00A83F8A" w:rsidRDefault="00A83F8A"/>
    <w:p w14:paraId="44C546B4" w14:textId="5A6D3585" w:rsidR="00A83F8A" w:rsidRDefault="00464D0B">
      <w:r>
        <w:t>10/29. The Cold War.</w:t>
      </w:r>
    </w:p>
    <w:p w14:paraId="5B294C9E" w14:textId="539A8C6B" w:rsidR="00464D0B" w:rsidRDefault="00464D0B">
      <w:r>
        <w:t>Small, 80-140; Stone, “The Cold War: the Scaremongers” (C); Allison &amp; Zelikow, “The Essence of Decision,” 77-129 (C); Brussel, “The Cuban Missile Crisis” (C).</w:t>
      </w:r>
    </w:p>
    <w:p w14:paraId="277521B3" w14:textId="77777777" w:rsidR="00464D0B" w:rsidRDefault="00464D0B"/>
    <w:p w14:paraId="6B09CE25" w14:textId="26BADD40" w:rsidR="00464D0B" w:rsidRDefault="00464D0B">
      <w:r>
        <w:t>11/5. Vietnam: 1954, 1965, post-1968.</w:t>
      </w:r>
    </w:p>
    <w:p w14:paraId="72364325" w14:textId="16045808" w:rsidR="00464D0B" w:rsidRDefault="00C45096">
      <w:r>
        <w:t xml:space="preserve">Small, 141-164; </w:t>
      </w:r>
      <w:r w:rsidR="00464D0B">
        <w:t>Western, 26-61, 94-132; Neustadt, ch. 13, “Presidential Power and the Modern Presidents (C); Snyder, ch. 7, “America’s Cold War Consensus</w:t>
      </w:r>
      <w:r>
        <w:t xml:space="preserve">,” 255-322 (C); </w:t>
      </w:r>
      <w:r w:rsidR="00DD7938">
        <w:t xml:space="preserve">Gelb and Betts, “The Irony of Vietnam: the System Worked,” pages tba; </w:t>
      </w:r>
      <w:r>
        <w:t>Mickelthwait &amp; Woolridge, “The Right Nation: Conservative Power in America,” 63-93 (C).</w:t>
      </w:r>
    </w:p>
    <w:p w14:paraId="3FB1F982" w14:textId="77777777" w:rsidR="00DD7938" w:rsidRDefault="00DD7938"/>
    <w:p w14:paraId="29BDC3F6" w14:textId="36499B33" w:rsidR="00DD7938" w:rsidRDefault="00DD7938">
      <w:r>
        <w:t>11/12. Post-Cold War Effects.</w:t>
      </w:r>
    </w:p>
    <w:p w14:paraId="70137A59" w14:textId="57E1EE1F" w:rsidR="00DD7938" w:rsidRDefault="00DD7938">
      <w:r>
        <w:t xml:space="preserve">Western, 133-174; E.A. Hyer, “The US Response to the Tianamen Massacre: Congressional Values and Executive Interests” (C); Pitzl &amp; Stewart, “The US Position on the Kyoto Protocol: Senate Ratification or Not?” (C); Deibel, “Death of a Treaty”  (C); Ausink, “Watershed in Rwanda: the Evolution of Clinton’s Humanitarian Policy” (C). </w:t>
      </w:r>
    </w:p>
    <w:p w14:paraId="4031F71D" w14:textId="77777777" w:rsidR="00DD7938" w:rsidRDefault="00DD7938"/>
    <w:p w14:paraId="11790C42" w14:textId="56250080" w:rsidR="00DD7938" w:rsidRDefault="00DD7938">
      <w:r>
        <w:t>11/19. Domestic-Level Effects and the Terror Attacks of 9/11/01.</w:t>
      </w:r>
    </w:p>
    <w:p w14:paraId="6BD7F027" w14:textId="46F11E20" w:rsidR="00DD7938" w:rsidRDefault="00902F1B">
      <w:r>
        <w:t xml:space="preserve">“The 9/11 Report,” chapters 2-6 at: </w:t>
      </w:r>
      <w:hyperlink r:id="rId10" w:history="1">
        <w:r w:rsidRPr="00FC0A15">
          <w:rPr>
            <w:rStyle w:val="Hyperlink"/>
          </w:rPr>
          <w:t>http://www.9-11Commission.gov/report/911Report.pdf</w:t>
        </w:r>
      </w:hyperlink>
      <w:r>
        <w:t xml:space="preserve">. </w:t>
      </w:r>
    </w:p>
    <w:p w14:paraId="2B1D7C2E" w14:textId="77777777" w:rsidR="00902F1B" w:rsidRDefault="00902F1B"/>
    <w:p w14:paraId="2531C049" w14:textId="28FB0390" w:rsidR="00902F1B" w:rsidRDefault="00902F1B">
      <w:r>
        <w:t>11/26. The Road to War in Iraq.</w:t>
      </w:r>
    </w:p>
    <w:p w14:paraId="00AA869E" w14:textId="40CCCE41" w:rsidR="00902F1B" w:rsidRDefault="00902F1B">
      <w:r>
        <w:t xml:space="preserve">Western, 175-219; Betts, “The Political Support System for American Primacy” (C); Mann, “The Rise of the Vulcans,” 332-358 (C); “Rumsfeld’s War,” PBS Frontline video, at: </w:t>
      </w:r>
      <w:hyperlink r:id="rId11" w:history="1">
        <w:r w:rsidR="00B54E6F" w:rsidRPr="00FC0A15">
          <w:rPr>
            <w:rStyle w:val="Hyperlink"/>
          </w:rPr>
          <w:t>http://www.pbs.org/wgbh/pages/frontline/shows/pentagon/view/</w:t>
        </w:r>
      </w:hyperlink>
      <w:r w:rsidR="00B54E6F">
        <w:t xml:space="preserve">; “The War Behind Closed Doors,” PBS Frontline Video, at: </w:t>
      </w:r>
      <w:hyperlink r:id="rId12" w:history="1">
        <w:r w:rsidR="00B54E6F" w:rsidRPr="00FC0A15">
          <w:rPr>
            <w:rStyle w:val="Hyperlink"/>
          </w:rPr>
          <w:t>http://www.pbs.org/wgbh/pages/frontline/shows/iraq/view/</w:t>
        </w:r>
      </w:hyperlink>
      <w:r w:rsidR="00B54E6F">
        <w:t xml:space="preserve">. </w:t>
      </w:r>
    </w:p>
    <w:p w14:paraId="0C1172ED" w14:textId="77777777" w:rsidR="00B54E6F" w:rsidRDefault="00B54E6F"/>
    <w:p w14:paraId="1472A360" w14:textId="4765DDAB" w:rsidR="00B54E6F" w:rsidRDefault="00B54E6F">
      <w:r>
        <w:t>12/3. The Obama Departure?</w:t>
      </w:r>
    </w:p>
    <w:p w14:paraId="0CF252F9" w14:textId="7016D7F1" w:rsidR="00B54E6F" w:rsidRDefault="00B54E6F">
      <w:r>
        <w:t xml:space="preserve">Nasr, “The Dispensable Nation,” 1-183; or Mann, “The Obamians,” in entirety </w:t>
      </w:r>
    </w:p>
    <w:p w14:paraId="7757DBE4" w14:textId="6D15E3E0" w:rsidR="00770897" w:rsidRDefault="00770897">
      <w:pPr>
        <w:rPr>
          <w:b/>
          <w:i/>
        </w:rPr>
      </w:pPr>
      <w:r>
        <w:rPr>
          <w:b/>
          <w:i/>
        </w:rPr>
        <w:t>Research paper is due in class.</w:t>
      </w:r>
    </w:p>
    <w:p w14:paraId="7BD3FF82" w14:textId="377ED19C" w:rsidR="00770897" w:rsidRDefault="00770897">
      <w:pPr>
        <w:rPr>
          <w:b/>
          <w:i/>
        </w:rPr>
      </w:pPr>
      <w:r>
        <w:rPr>
          <w:b/>
          <w:i/>
        </w:rPr>
        <w:t>Final take-home essay to be assigned; due in 397 Gibson on Tuesday, December 10</w:t>
      </w:r>
      <w:r w:rsidRPr="00770897">
        <w:rPr>
          <w:b/>
          <w:i/>
          <w:vertAlign w:val="superscript"/>
        </w:rPr>
        <w:t>th</w:t>
      </w:r>
      <w:r>
        <w:rPr>
          <w:b/>
          <w:i/>
        </w:rPr>
        <w:t>, at 5 pm.</w:t>
      </w:r>
    </w:p>
    <w:p w14:paraId="009B9EFC" w14:textId="77777777" w:rsidR="00770897" w:rsidRPr="00770897" w:rsidRDefault="00770897">
      <w:pPr>
        <w:rPr>
          <w:b/>
          <w:i/>
        </w:rPr>
      </w:pPr>
    </w:p>
    <w:sectPr w:rsidR="00770897" w:rsidRPr="00770897" w:rsidSect="00AB3453">
      <w:headerReference w:type="even" r:id="rId13"/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0A12C" w14:textId="77777777" w:rsidR="000C3697" w:rsidRDefault="000C3697" w:rsidP="000C3697">
      <w:r>
        <w:separator/>
      </w:r>
    </w:p>
  </w:endnote>
  <w:endnote w:type="continuationSeparator" w:id="0">
    <w:p w14:paraId="1703CB9B" w14:textId="77777777" w:rsidR="000C3697" w:rsidRDefault="000C3697" w:rsidP="000C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C2C6" w14:textId="77777777" w:rsidR="000C3697" w:rsidRDefault="000C3697" w:rsidP="000C3697">
      <w:r>
        <w:separator/>
      </w:r>
    </w:p>
  </w:footnote>
  <w:footnote w:type="continuationSeparator" w:id="0">
    <w:p w14:paraId="17292409" w14:textId="77777777" w:rsidR="000C3697" w:rsidRDefault="000C3697" w:rsidP="000C36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FA11C" w14:textId="77777777" w:rsidR="000C3697" w:rsidRDefault="000C3697" w:rsidP="000C36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7525E" w14:textId="77777777" w:rsidR="000C3697" w:rsidRDefault="000C3697" w:rsidP="000C369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88239" w14:textId="77777777" w:rsidR="000C3697" w:rsidRDefault="000C3697" w:rsidP="000C36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3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EF09D1" w14:textId="77777777" w:rsidR="000C3697" w:rsidRDefault="000C3697" w:rsidP="000C369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0"/>
    <w:rsid w:val="00013321"/>
    <w:rsid w:val="000C3697"/>
    <w:rsid w:val="00292390"/>
    <w:rsid w:val="00464D0B"/>
    <w:rsid w:val="004F295A"/>
    <w:rsid w:val="00770897"/>
    <w:rsid w:val="007C5C49"/>
    <w:rsid w:val="007F0EAD"/>
    <w:rsid w:val="00882A8F"/>
    <w:rsid w:val="00902F1B"/>
    <w:rsid w:val="00A83F8A"/>
    <w:rsid w:val="00AB3453"/>
    <w:rsid w:val="00B54E6F"/>
    <w:rsid w:val="00C45096"/>
    <w:rsid w:val="00C466C8"/>
    <w:rsid w:val="00CA080F"/>
    <w:rsid w:val="00D96D05"/>
    <w:rsid w:val="00DD7938"/>
    <w:rsid w:val="00F4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46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C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697"/>
  </w:style>
  <w:style w:type="character" w:styleId="PageNumber">
    <w:name w:val="page number"/>
    <w:basedOn w:val="DefaultParagraphFont"/>
    <w:uiPriority w:val="99"/>
    <w:semiHidden/>
    <w:unhideWhenUsed/>
    <w:rsid w:val="000C36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C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697"/>
  </w:style>
  <w:style w:type="character" w:styleId="PageNumber">
    <w:name w:val="page number"/>
    <w:basedOn w:val="DefaultParagraphFont"/>
    <w:uiPriority w:val="99"/>
    <w:semiHidden/>
    <w:unhideWhenUsed/>
    <w:rsid w:val="000C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bs.org/wgbh/pages/frontline/shows/pentagon/view/" TargetMode="External"/><Relationship Id="rId12" Type="http://schemas.openxmlformats.org/officeDocument/2006/relationships/hyperlink" Target="http://www.pbs.org/wgbh/pages/frontline/shows/iraq/view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upremejustia.com" TargetMode="External"/><Relationship Id="rId8" Type="http://schemas.openxmlformats.org/officeDocument/2006/relationships/hyperlink" Target="http://www.pbs.org/wgbh/amex/wilson/filmmore/fr_cooper.html" TargetMode="External"/><Relationship Id="rId9" Type="http://schemas.openxmlformats.org/officeDocument/2006/relationships/hyperlink" Target="http://www.san.beck.org/GPJ21-LeagueofNations.html" TargetMode="External"/><Relationship Id="rId10" Type="http://schemas.openxmlformats.org/officeDocument/2006/relationships/hyperlink" Target="http://www.9-11Commission.gov/report/911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955</Words>
  <Characters>5447</Characters>
  <Application>Microsoft Macintosh Word</Application>
  <DocSecurity>0</DocSecurity>
  <Lines>45</Lines>
  <Paragraphs>12</Paragraphs>
  <ScaleCrop>false</ScaleCrop>
  <Company>University of Virginia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Lynch</dc:creator>
  <cp:keywords/>
  <dc:description/>
  <cp:lastModifiedBy>Allen Lynch</cp:lastModifiedBy>
  <cp:revision>12</cp:revision>
  <dcterms:created xsi:type="dcterms:W3CDTF">2013-08-26T01:35:00Z</dcterms:created>
  <dcterms:modified xsi:type="dcterms:W3CDTF">2013-08-26T13:50:00Z</dcterms:modified>
</cp:coreProperties>
</file>