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5F" w:rsidRPr="006E645F" w:rsidRDefault="006E645F" w:rsidP="00A92278">
      <w:pPr>
        <w:jc w:val="center"/>
        <w:rPr>
          <w:rFonts w:ascii="Times New Roman" w:hAnsi="Times New Roman" w:cs="Times New Roman"/>
          <w:b/>
        </w:rPr>
      </w:pPr>
      <w:r w:rsidRPr="006E645F">
        <w:rPr>
          <w:rFonts w:ascii="Times New Roman" w:hAnsi="Times New Roman" w:cs="Times New Roman"/>
          <w:b/>
        </w:rPr>
        <w:t>EDIS 5100: Characteristics of Emotional or Behavioral Disorders</w:t>
      </w:r>
    </w:p>
    <w:p w:rsidR="006E645F" w:rsidRDefault="006E645F">
      <w:pPr>
        <w:rPr>
          <w:rFonts w:ascii="Times New Roman" w:hAnsi="Times New Roman" w:cs="Times New Roman"/>
        </w:rPr>
      </w:pPr>
    </w:p>
    <w:tbl>
      <w:tblPr>
        <w:tblW w:w="0" w:type="auto"/>
        <w:tblInd w:w="108" w:type="dxa"/>
        <w:tblLook w:val="0000" w:firstRow="0" w:lastRow="0" w:firstColumn="0" w:lastColumn="0" w:noHBand="0" w:noVBand="0"/>
      </w:tblPr>
      <w:tblGrid>
        <w:gridCol w:w="4922"/>
        <w:gridCol w:w="3826"/>
      </w:tblGrid>
      <w:tr w:rsidR="00A92278" w:rsidRPr="00A92278" w:rsidTr="00A92278">
        <w:tc>
          <w:tcPr>
            <w:tcW w:w="5400" w:type="dxa"/>
          </w:tcPr>
          <w:p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Course Instructor</w:t>
            </w:r>
            <w:r w:rsidRPr="00A92278">
              <w:rPr>
                <w:rFonts w:ascii="Times New Roman" w:hAnsi="Times New Roman" w:cs="Times New Roman"/>
                <w:lang w:bidi="x-none"/>
              </w:rPr>
              <w:t>: Paige C. Pullen, Ph.D.</w:t>
            </w:r>
          </w:p>
          <w:p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Office</w:t>
            </w:r>
            <w:r w:rsidRPr="00A92278">
              <w:rPr>
                <w:rFonts w:ascii="Times New Roman" w:hAnsi="Times New Roman" w:cs="Times New Roman"/>
                <w:lang w:bidi="x-none"/>
              </w:rPr>
              <w:t xml:space="preserve">:  225 </w:t>
            </w:r>
            <w:proofErr w:type="spellStart"/>
            <w:r w:rsidRPr="00A92278">
              <w:rPr>
                <w:rFonts w:ascii="Times New Roman" w:hAnsi="Times New Roman" w:cs="Times New Roman"/>
                <w:lang w:bidi="x-none"/>
              </w:rPr>
              <w:t>Bavaro</w:t>
            </w:r>
            <w:proofErr w:type="spellEnd"/>
            <w:r w:rsidRPr="00A92278">
              <w:rPr>
                <w:rFonts w:ascii="Times New Roman" w:hAnsi="Times New Roman" w:cs="Times New Roman"/>
                <w:lang w:bidi="x-none"/>
              </w:rPr>
              <w:t xml:space="preserve"> Hall, Charlottesville, VA</w:t>
            </w:r>
          </w:p>
          <w:p w:rsidR="00A92278" w:rsidRPr="00A92278" w:rsidRDefault="00A92278" w:rsidP="00A92278">
            <w:pPr>
              <w:rPr>
                <w:rFonts w:ascii="Times New Roman" w:hAnsi="Times New Roman" w:cs="Times New Roman"/>
                <w:lang w:bidi="x-none"/>
              </w:rPr>
            </w:pPr>
          </w:p>
          <w:p w:rsidR="00A92278" w:rsidRPr="00A92278" w:rsidRDefault="00A92278" w:rsidP="00A92278">
            <w:pPr>
              <w:rPr>
                <w:rFonts w:ascii="Times New Roman" w:hAnsi="Times New Roman" w:cs="Times New Roman"/>
                <w:lang w:bidi="x-none"/>
              </w:rPr>
            </w:pPr>
            <w:r w:rsidRPr="00A92278">
              <w:rPr>
                <w:rFonts w:ascii="Times New Roman" w:hAnsi="Times New Roman" w:cs="Times New Roman"/>
                <w:b/>
                <w:lang w:bidi="x-none"/>
              </w:rPr>
              <w:t>Email policy</w:t>
            </w:r>
            <w:r w:rsidRPr="00A92278">
              <w:rPr>
                <w:rFonts w:ascii="Times New Roman" w:hAnsi="Times New Roman" w:cs="Times New Roman"/>
                <w:lang w:bidi="x-none"/>
              </w:rPr>
              <w:t xml:space="preserve">: Emails will be answered within 24-48 hours after receipt during weekdays. </w:t>
            </w:r>
            <w:r w:rsidRPr="00A92278">
              <w:rPr>
                <w:rFonts w:ascii="Times New Roman" w:hAnsi="Times New Roman" w:cs="Times New Roman"/>
                <w:b/>
                <w:lang w:bidi="x-none"/>
              </w:rPr>
              <w:t>Please put EDIS 5100 in your subject line.</w:t>
            </w:r>
          </w:p>
        </w:tc>
        <w:tc>
          <w:tcPr>
            <w:tcW w:w="4068" w:type="dxa"/>
          </w:tcPr>
          <w:p w:rsidR="00A92278" w:rsidRPr="00A92278" w:rsidRDefault="00A92278" w:rsidP="00A92278">
            <w:pPr>
              <w:pStyle w:val="Heading2"/>
              <w:numPr>
                <w:ilvl w:val="0"/>
                <w:numId w:val="0"/>
              </w:numPr>
              <w:tabs>
                <w:tab w:val="left" w:pos="720"/>
              </w:tabs>
              <w:spacing w:before="0" w:after="0"/>
              <w:rPr>
                <w:rFonts w:ascii="Times New Roman" w:hAnsi="Times New Roman"/>
                <w:lang w:bidi="x-none"/>
              </w:rPr>
            </w:pPr>
            <w:r w:rsidRPr="00A92278">
              <w:rPr>
                <w:rFonts w:ascii="Times New Roman" w:hAnsi="Times New Roman"/>
                <w:b/>
                <w:lang w:bidi="x-none"/>
              </w:rPr>
              <w:t>Phone</w:t>
            </w:r>
            <w:r w:rsidRPr="00A92278">
              <w:rPr>
                <w:rFonts w:ascii="Times New Roman" w:hAnsi="Times New Roman"/>
                <w:lang w:bidi="x-none"/>
              </w:rPr>
              <w:t>:  (434) 243-5502</w:t>
            </w:r>
            <w:r>
              <w:rPr>
                <w:rFonts w:ascii="Times New Roman" w:hAnsi="Times New Roman"/>
                <w:lang w:bidi="x-none"/>
              </w:rPr>
              <w:t xml:space="preserve"> (office)</w:t>
            </w:r>
          </w:p>
          <w:p w:rsidR="00A92278" w:rsidRPr="00A92278" w:rsidRDefault="00A92278" w:rsidP="00A92278">
            <w:pPr>
              <w:rPr>
                <w:rFonts w:ascii="Times New Roman" w:hAnsi="Times New Roman" w:cs="Times New Roman"/>
              </w:rPr>
            </w:pPr>
            <w:r>
              <w:rPr>
                <w:rFonts w:ascii="Times New Roman" w:hAnsi="Times New Roman" w:cs="Times New Roman"/>
              </w:rPr>
              <w:t xml:space="preserve">              </w:t>
            </w:r>
            <w:r w:rsidRPr="00A92278">
              <w:rPr>
                <w:rFonts w:ascii="Times New Roman" w:hAnsi="Times New Roman" w:cs="Times New Roman"/>
                <w:lang w:bidi="x-none"/>
              </w:rPr>
              <w:t>(434) 242-9783</w:t>
            </w:r>
            <w:r>
              <w:rPr>
                <w:rFonts w:ascii="Times New Roman" w:hAnsi="Times New Roman" w:cs="Times New Roman"/>
                <w:lang w:bidi="x-none"/>
              </w:rPr>
              <w:t xml:space="preserve"> (mobile)</w:t>
            </w:r>
          </w:p>
          <w:p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Email</w:t>
            </w:r>
            <w:r w:rsidRPr="00A92278">
              <w:rPr>
                <w:rFonts w:ascii="Times New Roman" w:hAnsi="Times New Roman" w:cs="Times New Roman"/>
                <w:lang w:bidi="x-none"/>
              </w:rPr>
              <w:t>:  pullen@virginia.edu</w:t>
            </w:r>
          </w:p>
          <w:p w:rsidR="00A92278" w:rsidRPr="00A92278" w:rsidRDefault="00A92278" w:rsidP="00A92278">
            <w:pPr>
              <w:tabs>
                <w:tab w:val="left" w:pos="720"/>
              </w:tabs>
              <w:rPr>
                <w:rFonts w:ascii="Times New Roman" w:hAnsi="Times New Roman" w:cs="Times New Roman"/>
                <w:lang w:bidi="x-none"/>
              </w:rPr>
            </w:pPr>
            <w:r w:rsidRPr="00A92278">
              <w:rPr>
                <w:rFonts w:ascii="Times New Roman" w:hAnsi="Times New Roman" w:cs="Times New Roman"/>
                <w:b/>
                <w:lang w:bidi="x-none"/>
              </w:rPr>
              <w:t>Skype</w:t>
            </w:r>
            <w:r>
              <w:rPr>
                <w:rFonts w:ascii="Times New Roman" w:hAnsi="Times New Roman" w:cs="Times New Roman"/>
                <w:lang w:bidi="x-none"/>
              </w:rPr>
              <w:t xml:space="preserve">: </w:t>
            </w:r>
            <w:proofErr w:type="spellStart"/>
            <w:r>
              <w:rPr>
                <w:rFonts w:ascii="Times New Roman" w:hAnsi="Times New Roman" w:cs="Times New Roman"/>
                <w:lang w:bidi="x-none"/>
              </w:rPr>
              <w:t>pcpullen</w:t>
            </w:r>
            <w:proofErr w:type="spellEnd"/>
          </w:p>
          <w:p w:rsidR="00A92278" w:rsidRPr="00A92278" w:rsidRDefault="00A92278" w:rsidP="00A92278">
            <w:pPr>
              <w:tabs>
                <w:tab w:val="left" w:pos="720"/>
              </w:tabs>
              <w:rPr>
                <w:rFonts w:ascii="Times New Roman" w:hAnsi="Times New Roman" w:cs="Times New Roman"/>
                <w:lang w:bidi="x-none"/>
              </w:rPr>
            </w:pPr>
          </w:p>
        </w:tc>
      </w:tr>
    </w:tbl>
    <w:p w:rsidR="00A92278" w:rsidRPr="006E645F" w:rsidRDefault="00A92278">
      <w:pPr>
        <w:rPr>
          <w:rFonts w:ascii="Times New Roman" w:hAnsi="Times New Roman" w:cs="Times New Roman"/>
        </w:rPr>
      </w:pPr>
    </w:p>
    <w:p w:rsidR="00A92278" w:rsidRDefault="00A92278">
      <w:pPr>
        <w:rPr>
          <w:rFonts w:ascii="Times New Roman" w:hAnsi="Times New Roman" w:cs="Times New Roman"/>
          <w:b/>
        </w:rPr>
      </w:pPr>
      <w:r>
        <w:rPr>
          <w:rFonts w:ascii="Times New Roman" w:hAnsi="Times New Roman" w:cs="Times New Roman"/>
          <w:b/>
        </w:rPr>
        <w:t>I have provided my cell phone number for your use. Please use as necessary. I understand many of you are in Northern Virginia. We have only 5 weeks to complete this course (April 4-May 3, 2016). It is critical to stay on track.</w:t>
      </w:r>
    </w:p>
    <w:p w:rsidR="00A92278" w:rsidRDefault="00A92278">
      <w:pPr>
        <w:rPr>
          <w:rFonts w:ascii="Times New Roman" w:hAnsi="Times New Roman" w:cs="Times New Roman"/>
          <w:b/>
        </w:rPr>
      </w:pPr>
    </w:p>
    <w:p w:rsidR="00A92278" w:rsidRPr="00A92278" w:rsidRDefault="00A92278">
      <w:pPr>
        <w:rPr>
          <w:rFonts w:ascii="Times New Roman" w:hAnsi="Times New Roman" w:cs="Times New Roman"/>
          <w:b/>
        </w:rPr>
      </w:pPr>
      <w:r w:rsidRPr="00A92278">
        <w:rPr>
          <w:rFonts w:ascii="Times New Roman" w:hAnsi="Times New Roman" w:cs="Times New Roman"/>
          <w:b/>
        </w:rPr>
        <w:t>Course Description</w:t>
      </w:r>
    </w:p>
    <w:p w:rsidR="00A92278" w:rsidRDefault="00A92278">
      <w:pPr>
        <w:rPr>
          <w:rFonts w:ascii="Times New Roman" w:hAnsi="Times New Roman" w:cs="Times New Roman"/>
        </w:rPr>
      </w:pPr>
    </w:p>
    <w:p w:rsidR="00BF35C2" w:rsidRPr="006E645F" w:rsidRDefault="00BF35C2">
      <w:pPr>
        <w:rPr>
          <w:rFonts w:ascii="Times New Roman" w:hAnsi="Times New Roman" w:cs="Times New Roman"/>
        </w:rPr>
      </w:pPr>
      <w:r w:rsidRPr="006E645F">
        <w:rPr>
          <w:rFonts w:ascii="Times New Roman" w:hAnsi="Times New Roman" w:cs="Times New Roman"/>
        </w:rPr>
        <w:t>This course presents the characteristics of children and adolescents with emotional and behavior disorders within the context of special education services. On completion of this course, students will have (1) knowledge of the origins and characteristics of the primary behavioral disorders, (2) procedures for identification and assessment, and (3) approaches of programming and instruction for ED/BD, autism and other related disabilities.</w:t>
      </w:r>
    </w:p>
    <w:p w:rsidR="00BF35C2" w:rsidRPr="006E645F" w:rsidRDefault="00BF35C2">
      <w:pPr>
        <w:rPr>
          <w:rFonts w:ascii="Times New Roman" w:hAnsi="Times New Roman" w:cs="Times New Roman"/>
        </w:rPr>
      </w:pPr>
    </w:p>
    <w:p w:rsidR="006E645F" w:rsidRPr="006E645F" w:rsidRDefault="006E645F">
      <w:pPr>
        <w:rPr>
          <w:rFonts w:ascii="Times New Roman" w:hAnsi="Times New Roman" w:cs="Times New Roman"/>
          <w:b/>
        </w:rPr>
      </w:pPr>
      <w:r w:rsidRPr="006E645F">
        <w:rPr>
          <w:rFonts w:ascii="Times New Roman" w:hAnsi="Times New Roman" w:cs="Times New Roman"/>
          <w:b/>
        </w:rPr>
        <w:t>Objectives</w:t>
      </w:r>
    </w:p>
    <w:p w:rsidR="006E645F" w:rsidRPr="006E645F" w:rsidRDefault="006E645F">
      <w:pPr>
        <w:rPr>
          <w:rFonts w:ascii="Times New Roman" w:hAnsi="Times New Roman" w:cs="Times New Roman"/>
        </w:rPr>
      </w:pP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the terminology used to for emotional and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Define “</w:t>
      </w:r>
      <w:proofErr w:type="spellStart"/>
      <w:r w:rsidRPr="006E645F">
        <w:rPr>
          <w:rFonts w:ascii="Times New Roman" w:hAnsi="Times New Roman" w:cs="Times New Roman"/>
        </w:rPr>
        <w:t>prosocial</w:t>
      </w:r>
      <w:proofErr w:type="spellEnd"/>
      <w:r w:rsidRPr="006E645F">
        <w:rPr>
          <w:rFonts w:ascii="Times New Roman" w:hAnsi="Times New Roman" w:cs="Times New Roman"/>
        </w:rPr>
        <w:t>” behavior.</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Define emotional or behavioral disorder.</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the prevalence of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List causes of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the identification process for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List the most prominent characteristics of students with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the major educational considerations for students with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Describe assessment procedures for with emotional or behavioral disorders.</w:t>
      </w:r>
    </w:p>
    <w:p w:rsidR="006E645F" w:rsidRPr="006E645F" w:rsidRDefault="006E645F" w:rsidP="006E645F">
      <w:pPr>
        <w:pStyle w:val="ListParagraph"/>
        <w:numPr>
          <w:ilvl w:val="0"/>
          <w:numId w:val="1"/>
        </w:numPr>
        <w:rPr>
          <w:rFonts w:ascii="Times New Roman" w:hAnsi="Times New Roman" w:cs="Times New Roman"/>
        </w:rPr>
      </w:pPr>
      <w:r w:rsidRPr="006E645F">
        <w:rPr>
          <w:rFonts w:ascii="Times New Roman" w:hAnsi="Times New Roman" w:cs="Times New Roman"/>
        </w:rPr>
        <w:t>Discuss early intervention and transition for students with emotional or behavioral disorders.</w:t>
      </w:r>
    </w:p>
    <w:p w:rsidR="006E645F" w:rsidRPr="006E645F" w:rsidRDefault="006E645F" w:rsidP="006E645F">
      <w:pPr>
        <w:rPr>
          <w:rFonts w:ascii="Times New Roman" w:hAnsi="Times New Roman" w:cs="Times New Roman"/>
        </w:rPr>
      </w:pPr>
    </w:p>
    <w:p w:rsidR="006E645F" w:rsidRPr="006E645F" w:rsidRDefault="006E645F" w:rsidP="006E645F">
      <w:pPr>
        <w:rPr>
          <w:rFonts w:ascii="Times New Roman" w:hAnsi="Times New Roman" w:cs="Times New Roman"/>
          <w:b/>
        </w:rPr>
      </w:pPr>
      <w:r w:rsidRPr="006E645F">
        <w:rPr>
          <w:rFonts w:ascii="Times New Roman" w:hAnsi="Times New Roman" w:cs="Times New Roman"/>
          <w:b/>
        </w:rPr>
        <w:t>Course Readings</w:t>
      </w:r>
    </w:p>
    <w:p w:rsidR="006E645F" w:rsidRPr="006E645F" w:rsidRDefault="006E645F" w:rsidP="006E645F">
      <w:pPr>
        <w:rPr>
          <w:rFonts w:ascii="Times New Roman" w:hAnsi="Times New Roman" w:cs="Times New Roman"/>
        </w:rPr>
      </w:pPr>
    </w:p>
    <w:p w:rsidR="006E645F" w:rsidRPr="006E645F" w:rsidRDefault="006E645F" w:rsidP="006E645F">
      <w:pPr>
        <w:rPr>
          <w:rFonts w:ascii="Times New Roman" w:hAnsi="Times New Roman" w:cs="Times New Roman"/>
        </w:rPr>
      </w:pPr>
      <w:r w:rsidRPr="006E645F">
        <w:rPr>
          <w:rFonts w:ascii="Times New Roman" w:hAnsi="Times New Roman" w:cs="Times New Roman"/>
        </w:rPr>
        <w:t xml:space="preserve">Chapter 8, "Learners with Learning Disabilities" in </w:t>
      </w:r>
      <w:proofErr w:type="spellStart"/>
      <w:r w:rsidRPr="006E645F">
        <w:rPr>
          <w:rFonts w:ascii="Times New Roman" w:hAnsi="Times New Roman" w:cs="Times New Roman"/>
        </w:rPr>
        <w:t>Hallahan</w:t>
      </w:r>
      <w:proofErr w:type="spellEnd"/>
      <w:r w:rsidRPr="006E645F">
        <w:rPr>
          <w:rFonts w:ascii="Times New Roman" w:hAnsi="Times New Roman" w:cs="Times New Roman"/>
        </w:rPr>
        <w:t xml:space="preserve">, D. P., Kauffman, J. M., &amp; Pullen, P. C. (2015). </w:t>
      </w:r>
      <w:r w:rsidRPr="006E645F">
        <w:rPr>
          <w:rFonts w:ascii="Times New Roman" w:hAnsi="Times New Roman" w:cs="Times New Roman"/>
          <w:i/>
        </w:rPr>
        <w:t>Exceptional Learners: An introduction to special education (13th edition)</w:t>
      </w:r>
      <w:r w:rsidRPr="006E645F">
        <w:rPr>
          <w:rFonts w:ascii="Times New Roman" w:hAnsi="Times New Roman" w:cs="Times New Roman"/>
        </w:rPr>
        <w:t>. Upper Saddle River, NJ: Pearson Education.</w:t>
      </w:r>
    </w:p>
    <w:p w:rsidR="006E645F" w:rsidRPr="006E645F" w:rsidRDefault="006E645F" w:rsidP="006E645F">
      <w:pPr>
        <w:rPr>
          <w:rFonts w:ascii="Times New Roman" w:hAnsi="Times New Roman" w:cs="Times New Roman"/>
        </w:rPr>
      </w:pPr>
    </w:p>
    <w:p w:rsidR="006E645F" w:rsidRPr="006E645F" w:rsidRDefault="006E645F" w:rsidP="006E645F">
      <w:pPr>
        <w:rPr>
          <w:rFonts w:ascii="Times New Roman" w:hAnsi="Times New Roman" w:cs="Times New Roman"/>
        </w:rPr>
      </w:pPr>
      <w:r w:rsidRPr="006E645F">
        <w:rPr>
          <w:rFonts w:ascii="Times New Roman" w:hAnsi="Times New Roman" w:cs="Times New Roman"/>
        </w:rPr>
        <w:t xml:space="preserve">You should have a copy of this reading from EDIS 5000 or 3020. You may also order it from Pearson Education. A copy of the chapter is also provided in the readings folder on </w:t>
      </w:r>
      <w:proofErr w:type="spellStart"/>
      <w:r w:rsidRPr="006E645F">
        <w:rPr>
          <w:rFonts w:ascii="Times New Roman" w:hAnsi="Times New Roman" w:cs="Times New Roman"/>
        </w:rPr>
        <w:t>UVACollab</w:t>
      </w:r>
      <w:proofErr w:type="spellEnd"/>
      <w:r w:rsidRPr="006E645F">
        <w:rPr>
          <w:rFonts w:ascii="Times New Roman" w:hAnsi="Times New Roman" w:cs="Times New Roman"/>
        </w:rPr>
        <w:t>.</w:t>
      </w:r>
    </w:p>
    <w:p w:rsidR="006E645F" w:rsidRPr="006E645F" w:rsidRDefault="006E645F">
      <w:pPr>
        <w:rPr>
          <w:rFonts w:ascii="Times New Roman" w:hAnsi="Times New Roman" w:cs="Times New Roman"/>
        </w:rPr>
      </w:pPr>
    </w:p>
    <w:p w:rsidR="006E645F" w:rsidRPr="006E645F" w:rsidRDefault="006E645F" w:rsidP="00F5195B">
      <w:pPr>
        <w:widowControl w:val="0"/>
        <w:autoSpaceDE w:val="0"/>
        <w:autoSpaceDN w:val="0"/>
        <w:adjustRightInd w:val="0"/>
        <w:jc w:val="center"/>
        <w:rPr>
          <w:rFonts w:ascii="Times New Roman" w:hAnsi="Times New Roman" w:cs="Times New Roman"/>
          <w:b/>
          <w:bCs/>
          <w:color w:val="434343"/>
        </w:rPr>
      </w:pPr>
      <w:r w:rsidRPr="006E645F">
        <w:rPr>
          <w:rFonts w:ascii="Times New Roman" w:hAnsi="Times New Roman" w:cs="Times New Roman"/>
          <w:b/>
          <w:bCs/>
          <w:color w:val="434343"/>
        </w:rPr>
        <w:t>Course Expectations</w:t>
      </w:r>
    </w:p>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Meeting</w:t>
      </w:r>
    </w:p>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Please feel free to schedule an optional meeting at any time during the course.</w:t>
      </w:r>
      <w:r w:rsidR="00A92278">
        <w:rPr>
          <w:rFonts w:ascii="Times New Roman" w:hAnsi="Times New Roman" w:cs="Times New Roman"/>
        </w:rPr>
        <w:t xml:space="preserve"> I would like to meet you face-to-face but this is not a requirement. </w:t>
      </w:r>
    </w:p>
    <w:p w:rsidR="00A92278" w:rsidRDefault="00A92278" w:rsidP="006E645F">
      <w:pPr>
        <w:widowControl w:val="0"/>
        <w:autoSpaceDE w:val="0"/>
        <w:autoSpaceDN w:val="0"/>
        <w:adjustRightInd w:val="0"/>
        <w:rPr>
          <w:rFonts w:ascii="Times New Roman" w:hAnsi="Times New Roman" w:cs="Times New Roman"/>
          <w:b/>
          <w:bCs/>
          <w:color w:val="434343"/>
        </w:rPr>
      </w:pPr>
    </w:p>
    <w:p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Online Modules</w:t>
      </w:r>
    </w:p>
    <w:p w:rsidR="006E645F" w:rsidRPr="006E645F" w:rsidRDefault="006E645F" w:rsidP="00F5195B">
      <w:pPr>
        <w:widowControl w:val="0"/>
        <w:autoSpaceDE w:val="0"/>
        <w:autoSpaceDN w:val="0"/>
        <w:adjustRightInd w:val="0"/>
        <w:rPr>
          <w:rFonts w:ascii="Times New Roman" w:hAnsi="Times New Roman" w:cs="Times New Roman"/>
        </w:rPr>
      </w:pPr>
      <w:r w:rsidRPr="006E645F">
        <w:rPr>
          <w:rFonts w:ascii="Times New Roman" w:hAnsi="Times New Roman" w:cs="Times New Roman"/>
        </w:rPr>
        <w:t xml:space="preserve">You will complete a series of modules based on the course objectives. The activities/assignments are built into the modules and will be scored online. You </w:t>
      </w:r>
      <w:r w:rsidR="00A92278">
        <w:rPr>
          <w:rFonts w:ascii="Times New Roman" w:hAnsi="Times New Roman" w:cs="Times New Roman"/>
        </w:rPr>
        <w:t xml:space="preserve">should complete one module each week to stay on track. </w:t>
      </w:r>
    </w:p>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rsid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Course Calendar</w:t>
      </w:r>
    </w:p>
    <w:p w:rsidR="00A92278" w:rsidRDefault="00A92278" w:rsidP="006E645F">
      <w:pPr>
        <w:widowControl w:val="0"/>
        <w:autoSpaceDE w:val="0"/>
        <w:autoSpaceDN w:val="0"/>
        <w:adjustRightInd w:val="0"/>
        <w:rPr>
          <w:rFonts w:ascii="Times New Roman" w:hAnsi="Times New Roman" w:cs="Times New Roman"/>
          <w:b/>
          <w:bCs/>
          <w:color w:val="434343"/>
        </w:rPr>
      </w:pPr>
    </w:p>
    <w:p w:rsidR="00F5195B" w:rsidRDefault="00F5195B" w:rsidP="006E645F">
      <w:pPr>
        <w:widowControl w:val="0"/>
        <w:autoSpaceDE w:val="0"/>
        <w:autoSpaceDN w:val="0"/>
        <w:adjustRightInd w:val="0"/>
        <w:rPr>
          <w:rFonts w:ascii="Times New Roman" w:hAnsi="Times New Roman" w:cs="Times New Roman"/>
          <w:b/>
          <w:bCs/>
          <w:color w:val="434343"/>
        </w:rPr>
      </w:pPr>
      <w:r>
        <w:rPr>
          <w:rFonts w:ascii="Times New Roman" w:hAnsi="Times New Roman" w:cs="Times New Roman"/>
          <w:b/>
          <w:bCs/>
          <w:color w:val="434343"/>
        </w:rPr>
        <w:t>April 4 to May 3, 2016</w:t>
      </w:r>
    </w:p>
    <w:p w:rsidR="00F5195B" w:rsidRDefault="00F5195B" w:rsidP="006E645F">
      <w:pPr>
        <w:widowControl w:val="0"/>
        <w:autoSpaceDE w:val="0"/>
        <w:autoSpaceDN w:val="0"/>
        <w:adjustRightInd w:val="0"/>
        <w:rPr>
          <w:rFonts w:ascii="Times New Roman" w:hAnsi="Times New Roman" w:cs="Times New Roman"/>
          <w:b/>
          <w:bCs/>
          <w:color w:val="434343"/>
        </w:rPr>
      </w:pPr>
    </w:p>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Grading</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560"/>
        <w:gridCol w:w="1688"/>
        <w:gridCol w:w="1688"/>
      </w:tblGrid>
      <w:tr w:rsidR="00A92278" w:rsidRPr="00A92278" w:rsidTr="00A92278">
        <w:tblPrEx>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Pr="00A92278" w:rsidRDefault="00A92278" w:rsidP="00A92278">
            <w:pPr>
              <w:widowControl w:val="0"/>
              <w:autoSpaceDE w:val="0"/>
              <w:autoSpaceDN w:val="0"/>
              <w:adjustRightInd w:val="0"/>
              <w:jc w:val="center"/>
              <w:rPr>
                <w:rFonts w:ascii="Times New Roman" w:hAnsi="Times New Roman" w:cs="Times New Roman"/>
                <w:b/>
              </w:rPr>
            </w:pPr>
            <w:r w:rsidRPr="00A92278">
              <w:rPr>
                <w:rFonts w:ascii="Times New Roman" w:hAnsi="Times New Roman" w:cs="Times New Roman"/>
                <w:b/>
              </w:rPr>
              <w:t>Assignment</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Pr="00A92278" w:rsidRDefault="00A92278" w:rsidP="00A92278">
            <w:pPr>
              <w:widowControl w:val="0"/>
              <w:autoSpaceDE w:val="0"/>
              <w:autoSpaceDN w:val="0"/>
              <w:adjustRightInd w:val="0"/>
              <w:jc w:val="center"/>
              <w:rPr>
                <w:rFonts w:ascii="Times New Roman" w:hAnsi="Times New Roman" w:cs="Times New Roman"/>
                <w:b/>
              </w:rPr>
            </w:pPr>
            <w:r w:rsidRPr="00A92278">
              <w:rPr>
                <w:rFonts w:ascii="Times New Roman" w:hAnsi="Times New Roman" w:cs="Times New Roman"/>
                <w:b/>
              </w:rPr>
              <w:t>Percentage of Final Grade</w:t>
            </w:r>
          </w:p>
        </w:tc>
        <w:tc>
          <w:tcPr>
            <w:tcW w:w="1688" w:type="dxa"/>
            <w:tcBorders>
              <w:top w:val="single" w:sz="8" w:space="0" w:color="6D6D6D"/>
              <w:left w:val="single" w:sz="8" w:space="0" w:color="6D6D6D"/>
              <w:bottom w:val="single" w:sz="8" w:space="0" w:color="6D6D6D"/>
            </w:tcBorders>
          </w:tcPr>
          <w:p w:rsidR="00A92278" w:rsidRPr="00A92278" w:rsidRDefault="00A92278" w:rsidP="00A92278">
            <w:pPr>
              <w:widowControl w:val="0"/>
              <w:autoSpaceDE w:val="0"/>
              <w:autoSpaceDN w:val="0"/>
              <w:adjustRightInd w:val="0"/>
              <w:jc w:val="center"/>
              <w:rPr>
                <w:rFonts w:ascii="Times New Roman" w:hAnsi="Times New Roman" w:cs="Times New Roman"/>
                <w:b/>
              </w:rPr>
            </w:pPr>
            <w:r>
              <w:rPr>
                <w:rFonts w:ascii="Times New Roman" w:hAnsi="Times New Roman" w:cs="Times New Roman"/>
                <w:b/>
              </w:rPr>
              <w:t>Due Date</w:t>
            </w:r>
          </w:p>
        </w:tc>
      </w:tr>
      <w:tr w:rsidR="00A92278" w:rsidRPr="006E645F" w:rsidTr="00A92278">
        <w:tblPrEx>
          <w:tblBorders>
            <w:top w:val="none" w:sz="0" w:space="0" w:color="auto"/>
          </w:tblBorders>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Pr="006E645F" w:rsidRDefault="00A92278">
            <w:pPr>
              <w:widowControl w:val="0"/>
              <w:autoSpaceDE w:val="0"/>
              <w:autoSpaceDN w:val="0"/>
              <w:adjustRightInd w:val="0"/>
              <w:rPr>
                <w:rFonts w:ascii="Times New Roman" w:hAnsi="Times New Roman" w:cs="Times New Roman"/>
              </w:rPr>
            </w:pPr>
            <w:r>
              <w:rPr>
                <w:rFonts w:ascii="Times New Roman" w:hAnsi="Times New Roman" w:cs="Times New Roman"/>
              </w:rPr>
              <w:t>Setting the Stage</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Pr="006E645F"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20</w:t>
            </w:r>
            <w:r w:rsidR="00A92278" w:rsidRPr="006E645F">
              <w:rPr>
                <w:rFonts w:ascii="Times New Roman" w:hAnsi="Times New Roman" w:cs="Times New Roman"/>
              </w:rPr>
              <w:t>%</w:t>
            </w:r>
          </w:p>
        </w:tc>
        <w:tc>
          <w:tcPr>
            <w:tcW w:w="1688" w:type="dxa"/>
            <w:tcBorders>
              <w:top w:val="single" w:sz="8" w:space="0" w:color="6D6D6D"/>
              <w:left w:val="single" w:sz="8" w:space="0" w:color="6D6D6D"/>
              <w:bottom w:val="single" w:sz="8" w:space="0" w:color="6D6D6D"/>
            </w:tcBorders>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April 8</w:t>
            </w:r>
          </w:p>
        </w:tc>
      </w:tr>
      <w:tr w:rsidR="00A92278" w:rsidRPr="006E645F" w:rsidTr="00A92278">
        <w:tblPrEx>
          <w:tblBorders>
            <w:top w:val="none" w:sz="0" w:space="0" w:color="auto"/>
            <w:bottom w:val="single" w:sz="8" w:space="0" w:color="6D6D6D"/>
          </w:tblBorders>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Pr="006E645F" w:rsidRDefault="00A92278">
            <w:pPr>
              <w:widowControl w:val="0"/>
              <w:autoSpaceDE w:val="0"/>
              <w:autoSpaceDN w:val="0"/>
              <w:adjustRightInd w:val="0"/>
              <w:rPr>
                <w:rFonts w:ascii="Times New Roman" w:hAnsi="Times New Roman" w:cs="Times New Roman"/>
              </w:rPr>
            </w:pPr>
            <w:r>
              <w:rPr>
                <w:rFonts w:ascii="Times New Roman" w:hAnsi="Times New Roman" w:cs="Times New Roman"/>
              </w:rPr>
              <w:t>Module 1</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Pr="006E645F"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20</w:t>
            </w:r>
            <w:r w:rsidR="00A92278" w:rsidRPr="006E645F">
              <w:rPr>
                <w:rFonts w:ascii="Times New Roman" w:hAnsi="Times New Roman" w:cs="Times New Roman"/>
              </w:rPr>
              <w:t>%</w:t>
            </w:r>
          </w:p>
        </w:tc>
        <w:tc>
          <w:tcPr>
            <w:tcW w:w="1688" w:type="dxa"/>
            <w:tcBorders>
              <w:top w:val="single" w:sz="8" w:space="0" w:color="6D6D6D"/>
              <w:left w:val="single" w:sz="8" w:space="0" w:color="6D6D6D"/>
              <w:bottom w:val="single" w:sz="8" w:space="0" w:color="6D6D6D"/>
            </w:tcBorders>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April 15</w:t>
            </w:r>
          </w:p>
        </w:tc>
      </w:tr>
      <w:tr w:rsidR="00A92278" w:rsidRPr="006E645F" w:rsidTr="00A92278">
        <w:tblPrEx>
          <w:tblBorders>
            <w:top w:val="none" w:sz="0" w:space="0" w:color="auto"/>
            <w:bottom w:val="single" w:sz="8" w:space="0" w:color="6D6D6D"/>
          </w:tblBorders>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Default="00A92278">
            <w:pPr>
              <w:widowControl w:val="0"/>
              <w:autoSpaceDE w:val="0"/>
              <w:autoSpaceDN w:val="0"/>
              <w:adjustRightInd w:val="0"/>
              <w:rPr>
                <w:rFonts w:ascii="Times New Roman" w:hAnsi="Times New Roman" w:cs="Times New Roman"/>
              </w:rPr>
            </w:pPr>
            <w:r>
              <w:rPr>
                <w:rFonts w:ascii="Times New Roman" w:hAnsi="Times New Roman" w:cs="Times New Roman"/>
              </w:rPr>
              <w:t>Module 2</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20</w:t>
            </w:r>
            <w:r w:rsidR="00A92278">
              <w:rPr>
                <w:rFonts w:ascii="Times New Roman" w:hAnsi="Times New Roman" w:cs="Times New Roman"/>
              </w:rPr>
              <w:t>%</w:t>
            </w:r>
          </w:p>
        </w:tc>
        <w:tc>
          <w:tcPr>
            <w:tcW w:w="1688" w:type="dxa"/>
            <w:tcBorders>
              <w:top w:val="single" w:sz="8" w:space="0" w:color="6D6D6D"/>
              <w:left w:val="single" w:sz="8" w:space="0" w:color="6D6D6D"/>
              <w:bottom w:val="single" w:sz="8" w:space="0" w:color="6D6D6D"/>
            </w:tcBorders>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April 22</w:t>
            </w:r>
          </w:p>
        </w:tc>
      </w:tr>
      <w:tr w:rsidR="00A92278" w:rsidRPr="006E645F" w:rsidTr="00A92278">
        <w:tblPrEx>
          <w:tblBorders>
            <w:top w:val="none" w:sz="0" w:space="0" w:color="auto"/>
            <w:bottom w:val="single" w:sz="8" w:space="0" w:color="6D6D6D"/>
          </w:tblBorders>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Default="00A92278">
            <w:pPr>
              <w:widowControl w:val="0"/>
              <w:autoSpaceDE w:val="0"/>
              <w:autoSpaceDN w:val="0"/>
              <w:adjustRightInd w:val="0"/>
              <w:rPr>
                <w:rFonts w:ascii="Times New Roman" w:hAnsi="Times New Roman" w:cs="Times New Roman"/>
              </w:rPr>
            </w:pPr>
            <w:r>
              <w:rPr>
                <w:rFonts w:ascii="Times New Roman" w:hAnsi="Times New Roman" w:cs="Times New Roman"/>
              </w:rPr>
              <w:t>Module 3</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20</w:t>
            </w:r>
            <w:r w:rsidR="00A92278">
              <w:rPr>
                <w:rFonts w:ascii="Times New Roman" w:hAnsi="Times New Roman" w:cs="Times New Roman"/>
              </w:rPr>
              <w:t>%</w:t>
            </w:r>
          </w:p>
        </w:tc>
        <w:tc>
          <w:tcPr>
            <w:tcW w:w="1688" w:type="dxa"/>
            <w:tcBorders>
              <w:top w:val="single" w:sz="8" w:space="0" w:color="6D6D6D"/>
              <w:left w:val="single" w:sz="8" w:space="0" w:color="6D6D6D"/>
              <w:bottom w:val="single" w:sz="8" w:space="0" w:color="6D6D6D"/>
            </w:tcBorders>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April 29</w:t>
            </w:r>
          </w:p>
        </w:tc>
      </w:tr>
      <w:tr w:rsidR="00A92278" w:rsidRPr="006E645F" w:rsidTr="00A92278">
        <w:tblPrEx>
          <w:tblBorders>
            <w:top w:val="none" w:sz="0" w:space="0" w:color="auto"/>
            <w:bottom w:val="single" w:sz="8" w:space="0" w:color="6D6D6D"/>
          </w:tblBorders>
          <w:tblCellMar>
            <w:top w:w="0" w:type="dxa"/>
            <w:bottom w:w="0" w:type="dxa"/>
          </w:tblCellMar>
        </w:tblPrEx>
        <w:tc>
          <w:tcPr>
            <w:tcW w:w="2560"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A92278" w:rsidRDefault="00A92278">
            <w:pPr>
              <w:widowControl w:val="0"/>
              <w:autoSpaceDE w:val="0"/>
              <w:autoSpaceDN w:val="0"/>
              <w:adjustRightInd w:val="0"/>
              <w:rPr>
                <w:rFonts w:ascii="Times New Roman" w:hAnsi="Times New Roman" w:cs="Times New Roman"/>
              </w:rPr>
            </w:pPr>
            <w:r>
              <w:rPr>
                <w:rFonts w:ascii="Times New Roman" w:hAnsi="Times New Roman" w:cs="Times New Roman"/>
              </w:rPr>
              <w:t>Module 4</w:t>
            </w:r>
          </w:p>
        </w:tc>
        <w:tc>
          <w:tcPr>
            <w:tcW w:w="1688"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20</w:t>
            </w:r>
            <w:r w:rsidR="00A92278">
              <w:rPr>
                <w:rFonts w:ascii="Times New Roman" w:hAnsi="Times New Roman" w:cs="Times New Roman"/>
              </w:rPr>
              <w:t>%</w:t>
            </w:r>
          </w:p>
        </w:tc>
        <w:tc>
          <w:tcPr>
            <w:tcW w:w="1688" w:type="dxa"/>
            <w:tcBorders>
              <w:top w:val="single" w:sz="8" w:space="0" w:color="6D6D6D"/>
              <w:left w:val="single" w:sz="8" w:space="0" w:color="6D6D6D"/>
              <w:bottom w:val="single" w:sz="8" w:space="0" w:color="6D6D6D"/>
            </w:tcBorders>
          </w:tcPr>
          <w:p w:rsidR="00A92278" w:rsidRDefault="00F5195B">
            <w:pPr>
              <w:widowControl w:val="0"/>
              <w:autoSpaceDE w:val="0"/>
              <w:autoSpaceDN w:val="0"/>
              <w:adjustRightInd w:val="0"/>
              <w:rPr>
                <w:rFonts w:ascii="Times New Roman" w:hAnsi="Times New Roman" w:cs="Times New Roman"/>
              </w:rPr>
            </w:pPr>
            <w:r>
              <w:rPr>
                <w:rFonts w:ascii="Times New Roman" w:hAnsi="Times New Roman" w:cs="Times New Roman"/>
              </w:rPr>
              <w:t>May 3</w:t>
            </w:r>
          </w:p>
        </w:tc>
      </w:tr>
    </w:tbl>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rsidR="006E645F" w:rsidRPr="006E645F" w:rsidRDefault="006E645F" w:rsidP="006E645F">
      <w:pPr>
        <w:widowControl w:val="0"/>
        <w:autoSpaceDE w:val="0"/>
        <w:autoSpaceDN w:val="0"/>
        <w:adjustRightInd w:val="0"/>
        <w:rPr>
          <w:rFonts w:ascii="Times New Roman" w:hAnsi="Times New Roman" w:cs="Times New Roman"/>
          <w:b/>
          <w:bCs/>
          <w:color w:val="434343"/>
        </w:rPr>
      </w:pPr>
      <w:r w:rsidRPr="006E645F">
        <w:rPr>
          <w:rFonts w:ascii="Times New Roman" w:hAnsi="Times New Roman" w:cs="Times New Roman"/>
          <w:b/>
          <w:bCs/>
          <w:color w:val="434343"/>
        </w:rPr>
        <w:t>Grading Scale</w:t>
      </w:r>
    </w:p>
    <w:tbl>
      <w:tblPr>
        <w:tblW w:w="424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448"/>
        <w:gridCol w:w="1800"/>
      </w:tblGrid>
      <w:tr w:rsidR="006E645F" w:rsidRPr="006E645F" w:rsidTr="006E645F">
        <w:tblPrEx>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98-100</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rsidTr="006E645F">
        <w:tblPrEx>
          <w:tblBorders>
            <w:top w:val="none" w:sz="0" w:space="0" w:color="auto"/>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94-97</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rsidTr="006E645F">
        <w:tblPrEx>
          <w:tblBorders>
            <w:top w:val="none" w:sz="0" w:space="0" w:color="auto"/>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90-93</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A-</w:t>
            </w:r>
          </w:p>
        </w:tc>
      </w:tr>
      <w:tr w:rsidR="006E645F" w:rsidRPr="006E645F" w:rsidTr="006E645F">
        <w:tblPrEx>
          <w:tblBorders>
            <w:top w:val="none" w:sz="0" w:space="0" w:color="auto"/>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86-89</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rsidTr="006E645F">
        <w:tblPrEx>
          <w:tblBorders>
            <w:top w:val="none" w:sz="0" w:space="0" w:color="auto"/>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82-85</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rsidTr="006E645F">
        <w:tblPrEx>
          <w:tblBorders>
            <w:top w:val="none" w:sz="0" w:space="0" w:color="auto"/>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78-81</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B-</w:t>
            </w:r>
          </w:p>
        </w:tc>
      </w:tr>
      <w:tr w:rsidR="006E645F" w:rsidRPr="006E645F" w:rsidTr="006E645F">
        <w:tblPrEx>
          <w:tblBorders>
            <w:top w:val="none" w:sz="0" w:space="0" w:color="auto"/>
            <w:bottom w:val="single" w:sz="8" w:space="0" w:color="6D6D6D"/>
          </w:tblBorders>
          <w:tblCellMar>
            <w:top w:w="0" w:type="dxa"/>
            <w:bottom w:w="0" w:type="dxa"/>
          </w:tblCellMar>
        </w:tblPrEx>
        <w:tc>
          <w:tcPr>
            <w:tcW w:w="2448" w:type="dxa"/>
            <w:tcBorders>
              <w:top w:val="single" w:sz="8" w:space="0" w:color="6D6D6D"/>
              <w:bottom w:val="single" w:sz="8" w:space="0" w:color="6D6D6D"/>
              <w:right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&lt;78</w:t>
            </w:r>
          </w:p>
        </w:tc>
        <w:tc>
          <w:tcPr>
            <w:tcW w:w="1800" w:type="dxa"/>
            <w:tcBorders>
              <w:top w:val="single" w:sz="8" w:space="0" w:color="6D6D6D"/>
              <w:left w:val="single" w:sz="8" w:space="0" w:color="6D6D6D"/>
              <w:bottom w:val="single" w:sz="8" w:space="0" w:color="6D6D6D"/>
            </w:tcBorders>
            <w:tcMar>
              <w:top w:w="60" w:type="nil"/>
              <w:left w:w="60" w:type="nil"/>
              <w:bottom w:w="60" w:type="nil"/>
              <w:right w:w="60" w:type="nil"/>
            </w:tcMar>
            <w:vAlign w:val="center"/>
          </w:tcPr>
          <w:p w:rsidR="006E645F" w:rsidRPr="006E645F" w:rsidRDefault="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C</w:t>
            </w:r>
          </w:p>
        </w:tc>
      </w:tr>
    </w:tbl>
    <w:p w:rsidR="006E645F" w:rsidRPr="006E645F" w:rsidRDefault="006E645F" w:rsidP="006E645F">
      <w:pPr>
        <w:widowControl w:val="0"/>
        <w:autoSpaceDE w:val="0"/>
        <w:autoSpaceDN w:val="0"/>
        <w:adjustRightInd w:val="0"/>
        <w:rPr>
          <w:rFonts w:ascii="Times New Roman" w:hAnsi="Times New Roman" w:cs="Times New Roman"/>
        </w:rPr>
      </w:pPr>
      <w:r w:rsidRPr="006E645F">
        <w:rPr>
          <w:rFonts w:ascii="Times New Roman" w:hAnsi="Times New Roman" w:cs="Times New Roman"/>
        </w:rPr>
        <w:t> </w:t>
      </w:r>
    </w:p>
    <w:p w:rsidR="00F5195B" w:rsidRPr="00F5195B" w:rsidRDefault="00F5195B" w:rsidP="00F5195B">
      <w:pPr>
        <w:pStyle w:val="Heading1"/>
        <w:spacing w:before="0"/>
        <w:rPr>
          <w:rFonts w:ascii="Times New Roman" w:hAnsi="Times New Roman" w:cs="Times New Roman"/>
          <w:color w:val="auto"/>
          <w:sz w:val="24"/>
          <w:szCs w:val="24"/>
        </w:rPr>
      </w:pPr>
      <w:r w:rsidRPr="00F5195B">
        <w:rPr>
          <w:rFonts w:ascii="Times New Roman" w:hAnsi="Times New Roman" w:cs="Times New Roman"/>
          <w:color w:val="auto"/>
          <w:sz w:val="24"/>
          <w:szCs w:val="24"/>
        </w:rPr>
        <w:t>Honor Code</w:t>
      </w:r>
    </w:p>
    <w:p w:rsidR="00F5195B" w:rsidRPr="00F5195B" w:rsidRDefault="00F5195B" w:rsidP="00F5195B">
      <w:pPr>
        <w:pStyle w:val="Heading1"/>
        <w:spacing w:before="0"/>
        <w:rPr>
          <w:rFonts w:ascii="Times New Roman" w:hAnsi="Times New Roman" w:cs="Times New Roman"/>
          <w:b w:val="0"/>
          <w:color w:val="auto"/>
          <w:sz w:val="24"/>
          <w:szCs w:val="24"/>
        </w:rPr>
      </w:pPr>
      <w:r w:rsidRPr="00F5195B">
        <w:rPr>
          <w:rFonts w:ascii="Times New Roman" w:hAnsi="Times New Roman" w:cs="Times New Roman"/>
          <w:b w:val="0"/>
          <w:color w:val="auto"/>
          <w:sz w:val="24"/>
          <w:szCs w:val="24"/>
        </w:rPr>
        <w:t>Students should adhere to the UV</w:t>
      </w:r>
      <w:r>
        <w:rPr>
          <w:rFonts w:ascii="Times New Roman" w:hAnsi="Times New Roman" w:cs="Times New Roman"/>
          <w:b w:val="0"/>
          <w:color w:val="auto"/>
          <w:sz w:val="24"/>
          <w:szCs w:val="24"/>
        </w:rPr>
        <w:t>A Honor Code on all assignments</w:t>
      </w:r>
      <w:r w:rsidRPr="00F5195B">
        <w:rPr>
          <w:rFonts w:ascii="Times New Roman" w:hAnsi="Times New Roman" w:cs="Times New Roman"/>
          <w:b w:val="0"/>
          <w:color w:val="auto"/>
          <w:sz w:val="24"/>
          <w:szCs w:val="24"/>
        </w:rPr>
        <w:t xml:space="preserve">. As your assignments </w:t>
      </w:r>
      <w:r>
        <w:rPr>
          <w:rFonts w:ascii="Times New Roman" w:hAnsi="Times New Roman" w:cs="Times New Roman"/>
          <w:b w:val="0"/>
          <w:color w:val="auto"/>
          <w:sz w:val="24"/>
          <w:szCs w:val="24"/>
        </w:rPr>
        <w:t>will</w:t>
      </w:r>
      <w:r w:rsidRPr="00F5195B">
        <w:rPr>
          <w:rFonts w:ascii="Times New Roman" w:hAnsi="Times New Roman" w:cs="Times New Roman"/>
          <w:b w:val="0"/>
          <w:color w:val="auto"/>
          <w:sz w:val="24"/>
          <w:szCs w:val="24"/>
        </w:rPr>
        <w:t xml:space="preserve"> be submitted electronically, your submission of an assignment is your pledge that you have followed the UVA Honor Code. </w:t>
      </w:r>
    </w:p>
    <w:p w:rsidR="00F5195B" w:rsidRPr="00F5195B" w:rsidRDefault="00F5195B" w:rsidP="00F5195B">
      <w:pPr>
        <w:rPr>
          <w:rFonts w:ascii="Times New Roman" w:hAnsi="Times New Roman" w:cs="Times New Roman"/>
        </w:rPr>
      </w:pPr>
    </w:p>
    <w:p w:rsidR="00F5195B" w:rsidRPr="00F5195B" w:rsidRDefault="00F5195B" w:rsidP="00F5195B">
      <w:pPr>
        <w:rPr>
          <w:rFonts w:ascii="Times New Roman" w:hAnsi="Times New Roman" w:cs="Times New Roman"/>
        </w:rPr>
      </w:pPr>
      <w:r w:rsidRPr="00F5195B">
        <w:rPr>
          <w:rFonts w:ascii="Times New Roman" w:hAnsi="Times New Roman" w:cs="Times New Roman"/>
        </w:rPr>
        <w:t xml:space="preserve">Assignments are due at </w:t>
      </w:r>
      <w:r>
        <w:rPr>
          <w:rFonts w:ascii="Times New Roman" w:hAnsi="Times New Roman" w:cs="Times New Roman"/>
        </w:rPr>
        <w:t>11:59 pm on the</w:t>
      </w:r>
      <w:r w:rsidRPr="00F5195B">
        <w:rPr>
          <w:rFonts w:ascii="Times New Roman" w:hAnsi="Times New Roman" w:cs="Times New Roman"/>
        </w:rPr>
        <w:t xml:space="preserve"> assigned due date. At the instructor’s discretion, late assignments will be accepted for 1/2 credit.</w:t>
      </w:r>
    </w:p>
    <w:p w:rsidR="00F5195B" w:rsidRPr="00F5195B" w:rsidRDefault="00F5195B" w:rsidP="00F5195B">
      <w:pPr>
        <w:rPr>
          <w:rFonts w:ascii="Times New Roman" w:hAnsi="Times New Roman" w:cs="Times New Roman"/>
        </w:rPr>
      </w:pPr>
    </w:p>
    <w:p w:rsidR="00F5195B" w:rsidRDefault="00F5195B" w:rsidP="00F5195B">
      <w:pPr>
        <w:rPr>
          <w:rFonts w:ascii="Times New Roman" w:hAnsi="Times New Roman" w:cs="Times New Roman"/>
          <w:b/>
        </w:rPr>
      </w:pPr>
    </w:p>
    <w:p w:rsidR="00F5195B" w:rsidRDefault="00F5195B" w:rsidP="00F5195B">
      <w:pPr>
        <w:rPr>
          <w:rFonts w:ascii="Times New Roman" w:hAnsi="Times New Roman" w:cs="Times New Roman"/>
          <w:b/>
        </w:rPr>
      </w:pPr>
    </w:p>
    <w:p w:rsidR="00F5195B" w:rsidRPr="00F5195B" w:rsidRDefault="00F5195B" w:rsidP="00F5195B">
      <w:pPr>
        <w:rPr>
          <w:rFonts w:ascii="Times New Roman" w:hAnsi="Times New Roman" w:cs="Times New Roman"/>
          <w:b/>
        </w:rPr>
      </w:pPr>
      <w:bookmarkStart w:id="0" w:name="_GoBack"/>
      <w:bookmarkEnd w:id="0"/>
      <w:r w:rsidRPr="00F5195B">
        <w:rPr>
          <w:rFonts w:ascii="Times New Roman" w:hAnsi="Times New Roman" w:cs="Times New Roman"/>
          <w:b/>
        </w:rPr>
        <w:t>Disability Services</w:t>
      </w:r>
    </w:p>
    <w:p w:rsidR="00F5195B" w:rsidRPr="00F5195B" w:rsidRDefault="00F5195B" w:rsidP="00F5195B">
      <w:pPr>
        <w:rPr>
          <w:rFonts w:ascii="Times New Roman" w:hAnsi="Times New Roman" w:cs="Times New Roman"/>
        </w:rPr>
      </w:pPr>
    </w:p>
    <w:p w:rsidR="00F5195B" w:rsidRPr="00F5195B" w:rsidRDefault="00F5195B" w:rsidP="00F5195B">
      <w:pPr>
        <w:spacing w:after="260"/>
        <w:rPr>
          <w:rFonts w:ascii="Times New Roman" w:hAnsi="Times New Roman" w:cs="Times New Roman"/>
        </w:rPr>
      </w:pPr>
      <w:r w:rsidRPr="00F5195B">
        <w:rPr>
          <w:rFonts w:ascii="Times New Roman" w:hAnsi="Times New Roman" w:cs="Times New Roman"/>
        </w:rPr>
        <w:t xml:space="preserve">All students with special needs requiring accommodations should present the appropriate paperwork from the Student Disability Access Center (SDAC). It is the student’s responsibility to present this paperwork in a timely fashion and follow up with the instructor about the accommodations being offered. Accommodations for </w:t>
      </w:r>
      <w:proofErr w:type="gramStart"/>
      <w:r w:rsidRPr="00F5195B">
        <w:rPr>
          <w:rFonts w:ascii="Times New Roman" w:hAnsi="Times New Roman" w:cs="Times New Roman"/>
        </w:rPr>
        <w:t>test-taking</w:t>
      </w:r>
      <w:proofErr w:type="gramEnd"/>
      <w:r w:rsidRPr="00F5195B">
        <w:rPr>
          <w:rFonts w:ascii="Times New Roman" w:hAnsi="Times New Roman" w:cs="Times New Roman"/>
        </w:rPr>
        <w:t xml:space="preserve"> (e.g., extended time) should be arranged with the instructor.</w:t>
      </w:r>
    </w:p>
    <w:p w:rsidR="00F5195B" w:rsidRPr="00F5195B" w:rsidRDefault="00F5195B" w:rsidP="00F5195B">
      <w:pPr>
        <w:spacing w:after="260"/>
        <w:rPr>
          <w:rFonts w:ascii="Times New Roman" w:hAnsi="Times New Roman" w:cs="Times New Roman"/>
        </w:rPr>
      </w:pPr>
      <w:r w:rsidRPr="00F5195B">
        <w:rPr>
          <w:rFonts w:ascii="Times New Roman" w:hAnsi="Times New Roman" w:cs="Times New Roman"/>
        </w:rPr>
        <w:t>The SDAC is located in the Department of Student Health and can be contacted at 243-5180/5181.</w:t>
      </w:r>
    </w:p>
    <w:p w:rsidR="006E645F" w:rsidRPr="00F5195B" w:rsidRDefault="006E645F" w:rsidP="006E645F">
      <w:pPr>
        <w:widowControl w:val="0"/>
        <w:autoSpaceDE w:val="0"/>
        <w:autoSpaceDN w:val="0"/>
        <w:adjustRightInd w:val="0"/>
        <w:rPr>
          <w:rFonts w:ascii="Times New Roman" w:hAnsi="Times New Roman" w:cs="Times New Roman"/>
        </w:rPr>
      </w:pPr>
    </w:p>
    <w:p w:rsidR="006E645F" w:rsidRPr="00F5195B" w:rsidRDefault="006E645F">
      <w:pPr>
        <w:rPr>
          <w:rFonts w:ascii="Times New Roman" w:hAnsi="Times New Roman" w:cs="Times New Roman"/>
        </w:rPr>
      </w:pPr>
    </w:p>
    <w:p w:rsidR="006E645F" w:rsidRPr="006E645F" w:rsidRDefault="006E645F">
      <w:pPr>
        <w:rPr>
          <w:rFonts w:ascii="Times New Roman" w:hAnsi="Times New Roman" w:cs="Times New Roman"/>
        </w:rPr>
      </w:pPr>
    </w:p>
    <w:sectPr w:rsidR="006E645F" w:rsidRPr="006E645F" w:rsidSect="006903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3BC0"/>
    <w:multiLevelType w:val="hybridMultilevel"/>
    <w:tmpl w:val="DC26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C5"/>
    <w:rsid w:val="006903C0"/>
    <w:rsid w:val="006E645F"/>
    <w:rsid w:val="008871C5"/>
    <w:rsid w:val="00A92278"/>
    <w:rsid w:val="00BF35C2"/>
    <w:rsid w:val="00F5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A2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92278"/>
    <w:pPr>
      <w:keepNext/>
      <w:widowControl w:val="0"/>
      <w:numPr>
        <w:ilvl w:val="12"/>
      </w:numPr>
      <w:autoSpaceDE w:val="0"/>
      <w:autoSpaceDN w:val="0"/>
      <w:adjustRightInd w:val="0"/>
      <w:spacing w:before="120" w:after="57"/>
      <w:outlineLvl w:val="1"/>
    </w:pPr>
    <w:rPr>
      <w:rFonts w:ascii="Calisto MT" w:eastAsia="Times New Roman" w:hAnsi="Calisto M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5F"/>
    <w:pPr>
      <w:ind w:left="720"/>
      <w:contextualSpacing/>
    </w:pPr>
  </w:style>
  <w:style w:type="character" w:customStyle="1" w:styleId="Heading2Char">
    <w:name w:val="Heading 2 Char"/>
    <w:basedOn w:val="DefaultParagraphFont"/>
    <w:link w:val="Heading2"/>
    <w:rsid w:val="00A92278"/>
    <w:rPr>
      <w:rFonts w:ascii="Calisto MT" w:eastAsia="Times New Roman" w:hAnsi="Calisto MT" w:cs="Times New Roman"/>
      <w:szCs w:val="20"/>
    </w:rPr>
  </w:style>
  <w:style w:type="character" w:customStyle="1" w:styleId="Heading1Char">
    <w:name w:val="Heading 1 Char"/>
    <w:basedOn w:val="DefaultParagraphFont"/>
    <w:link w:val="Heading1"/>
    <w:uiPriority w:val="9"/>
    <w:rsid w:val="00F5195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95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92278"/>
    <w:pPr>
      <w:keepNext/>
      <w:widowControl w:val="0"/>
      <w:numPr>
        <w:ilvl w:val="12"/>
      </w:numPr>
      <w:autoSpaceDE w:val="0"/>
      <w:autoSpaceDN w:val="0"/>
      <w:adjustRightInd w:val="0"/>
      <w:spacing w:before="120" w:after="57"/>
      <w:outlineLvl w:val="1"/>
    </w:pPr>
    <w:rPr>
      <w:rFonts w:ascii="Calisto MT" w:eastAsia="Times New Roman" w:hAnsi="Calisto M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5F"/>
    <w:pPr>
      <w:ind w:left="720"/>
      <w:contextualSpacing/>
    </w:pPr>
  </w:style>
  <w:style w:type="character" w:customStyle="1" w:styleId="Heading2Char">
    <w:name w:val="Heading 2 Char"/>
    <w:basedOn w:val="DefaultParagraphFont"/>
    <w:link w:val="Heading2"/>
    <w:rsid w:val="00A92278"/>
    <w:rPr>
      <w:rFonts w:ascii="Calisto MT" w:eastAsia="Times New Roman" w:hAnsi="Calisto MT" w:cs="Times New Roman"/>
      <w:szCs w:val="20"/>
    </w:rPr>
  </w:style>
  <w:style w:type="character" w:customStyle="1" w:styleId="Heading1Char">
    <w:name w:val="Heading 1 Char"/>
    <w:basedOn w:val="DefaultParagraphFont"/>
    <w:link w:val="Heading1"/>
    <w:uiPriority w:val="9"/>
    <w:rsid w:val="00F5195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570</Words>
  <Characters>3250</Characters>
  <Application>Microsoft Macintosh Word</Application>
  <DocSecurity>0</DocSecurity>
  <Lines>27</Lines>
  <Paragraphs>7</Paragraphs>
  <ScaleCrop>false</ScaleCrop>
  <Company>University of Virginia - Faculty</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Pullen</dc:creator>
  <cp:keywords/>
  <dc:description/>
  <cp:lastModifiedBy>Paige Pullen</cp:lastModifiedBy>
  <cp:revision>1</cp:revision>
  <dcterms:created xsi:type="dcterms:W3CDTF">2016-04-04T20:29:00Z</dcterms:created>
  <dcterms:modified xsi:type="dcterms:W3CDTF">2016-04-04T21:30:00Z</dcterms:modified>
</cp:coreProperties>
</file>