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B" w:rsidRDefault="00F2399B" w:rsidP="00AB5507">
      <w:pPr>
        <w:tabs>
          <w:tab w:val="left" w:pos="5280"/>
        </w:tabs>
        <w:spacing w:after="0" w:line="240" w:lineRule="auto"/>
        <w:rPr>
          <w:rFonts w:ascii="Californian FB" w:hAnsi="Californian FB"/>
          <w:b/>
          <w:i/>
          <w:smallCaps/>
          <w:color w:val="365F91" w:themeColor="accent1" w:themeShade="BF"/>
          <w:sz w:val="24"/>
          <w:szCs w:val="24"/>
        </w:rPr>
      </w:pPr>
      <w:r w:rsidRPr="00F2399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-123825</wp:posOffset>
            </wp:positionV>
            <wp:extent cx="6629400" cy="781050"/>
            <wp:effectExtent l="0" t="0" r="0" b="0"/>
            <wp:wrapNone/>
            <wp:docPr id="4" name="Picture 2" descr="uva_scps_lh_cy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a_scps_lh_cym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4C9" w:rsidRDefault="00C014C9" w:rsidP="00AB55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4C9" w:rsidRDefault="00C014C9" w:rsidP="00AB55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4C9" w:rsidRDefault="00C014C9" w:rsidP="00AB55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2B6" w:rsidRDefault="008422B6" w:rsidP="00AB55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950" w:rsidRPr="007819A2" w:rsidRDefault="008623A3" w:rsidP="00AB55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9A2">
        <w:rPr>
          <w:rFonts w:ascii="Arial" w:hAnsi="Arial" w:cs="Arial"/>
          <w:b/>
          <w:sz w:val="24"/>
          <w:szCs w:val="24"/>
        </w:rPr>
        <w:t>Class Overview</w:t>
      </w:r>
    </w:p>
    <w:p w:rsidR="007A6CD5" w:rsidRDefault="007A6CD5" w:rsidP="00AB55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2B6" w:rsidRDefault="008422B6" w:rsidP="00AB55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404"/>
        <w:gridCol w:w="1296"/>
        <w:gridCol w:w="2430"/>
        <w:gridCol w:w="3173"/>
        <w:gridCol w:w="27"/>
      </w:tblGrid>
      <w:tr w:rsidR="007819A2" w:rsidRPr="007819A2" w:rsidTr="003C34E7">
        <w:trPr>
          <w:trHeight w:val="854"/>
          <w:jc w:val="center"/>
        </w:trPr>
        <w:tc>
          <w:tcPr>
            <w:tcW w:w="10180" w:type="dxa"/>
            <w:gridSpan w:val="6"/>
            <w:vAlign w:val="center"/>
          </w:tcPr>
          <w:p w:rsidR="007819A2" w:rsidRPr="007819A2" w:rsidRDefault="007819A2" w:rsidP="00AB5507">
            <w:pPr>
              <w:jc w:val="center"/>
              <w:rPr>
                <w:rFonts w:ascii="Arial" w:hAnsi="Arial" w:cs="Arial"/>
                <w:b/>
              </w:rPr>
            </w:pPr>
            <w:r w:rsidRPr="007819A2">
              <w:rPr>
                <w:rFonts w:ascii="Arial" w:hAnsi="Arial" w:cs="Arial"/>
                <w:b/>
              </w:rPr>
              <w:t>General Class Information</w:t>
            </w:r>
          </w:p>
          <w:p w:rsidR="007819A2" w:rsidRPr="007819A2" w:rsidRDefault="007819A2" w:rsidP="00AB550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819A2">
              <w:rPr>
                <w:rFonts w:ascii="Arial" w:hAnsi="Arial" w:cs="Arial"/>
                <w:i/>
                <w:sz w:val="20"/>
                <w:szCs w:val="20"/>
              </w:rPr>
              <w:t>All fields must be completed and posted in UVaCollab and World Viewable in SIS</w:t>
            </w:r>
            <w:r w:rsidR="00194B13">
              <w:rPr>
                <w:rFonts w:ascii="Arial" w:hAnsi="Arial" w:cs="Arial"/>
                <w:i/>
                <w:sz w:val="20"/>
                <w:szCs w:val="20"/>
              </w:rPr>
              <w:t xml:space="preserve"> no later than two weeks prior to </w:t>
            </w:r>
            <w:r w:rsidR="002A6349">
              <w:rPr>
                <w:rFonts w:ascii="Arial" w:hAnsi="Arial" w:cs="Arial"/>
                <w:i/>
                <w:sz w:val="20"/>
                <w:szCs w:val="20"/>
              </w:rPr>
              <w:t>registration</w:t>
            </w:r>
            <w:r w:rsidRPr="007819A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C34E7" w:rsidRPr="007819A2" w:rsidTr="00BB70DF">
        <w:trPr>
          <w:gridAfter w:val="1"/>
          <w:wAfter w:w="27" w:type="dxa"/>
          <w:trHeight w:val="665"/>
          <w:jc w:val="center"/>
        </w:trPr>
        <w:tc>
          <w:tcPr>
            <w:tcW w:w="1850" w:type="dxa"/>
            <w:vAlign w:val="bottom"/>
          </w:tcPr>
          <w:p w:rsidR="007819A2" w:rsidRDefault="007819A2" w:rsidP="00AB5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9A2">
              <w:rPr>
                <w:rFonts w:ascii="Arial" w:hAnsi="Arial" w:cs="Arial"/>
                <w:b/>
                <w:sz w:val="20"/>
                <w:szCs w:val="20"/>
              </w:rPr>
              <w:t xml:space="preserve">Subject Area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:rsidR="007819A2" w:rsidRPr="007819A2" w:rsidRDefault="007819A2" w:rsidP="00AB55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9A2">
              <w:rPr>
                <w:rFonts w:ascii="Arial" w:hAnsi="Arial" w:cs="Arial"/>
                <w:b/>
                <w:sz w:val="20"/>
                <w:szCs w:val="20"/>
              </w:rPr>
              <w:t>Catalog Number</w:t>
            </w:r>
          </w:p>
        </w:tc>
        <w:bookmarkStart w:id="0" w:name="Text7"/>
        <w:tc>
          <w:tcPr>
            <w:tcW w:w="1404" w:type="dxa"/>
            <w:vAlign w:val="bottom"/>
          </w:tcPr>
          <w:p w:rsidR="007819A2" w:rsidRPr="008422B6" w:rsidRDefault="00815C79" w:rsidP="00615A29">
            <w:pPr>
              <w:rPr>
                <w:rFonts w:ascii="Arial" w:hAnsi="Arial" w:cs="Arial"/>
                <w:sz w:val="20"/>
                <w:szCs w:val="20"/>
              </w:rPr>
            </w:pP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921C9"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bookmarkStart w:id="1" w:name="_GoBack"/>
            <w:r w:rsidR="00615A29">
              <w:rPr>
                <w:rFonts w:ascii="Arial" w:hAnsi="Arial" w:cs="Arial"/>
                <w:noProof/>
                <w:sz w:val="20"/>
                <w:szCs w:val="20"/>
                <w:shd w:val="clear" w:color="auto" w:fill="D9D9D9" w:themeFill="background1" w:themeFillShade="D9"/>
              </w:rPr>
              <w:t>Certified Financial Planning - NCPR 502-701</w:t>
            </w:r>
            <w:bookmarkEnd w:id="1"/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  <w:tc>
          <w:tcPr>
            <w:tcW w:w="1296" w:type="dxa"/>
            <w:vAlign w:val="bottom"/>
          </w:tcPr>
          <w:p w:rsidR="007819A2" w:rsidRPr="007819A2" w:rsidRDefault="007819A2" w:rsidP="00AB55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 Title</w:t>
            </w:r>
          </w:p>
        </w:tc>
        <w:tc>
          <w:tcPr>
            <w:tcW w:w="5603" w:type="dxa"/>
            <w:gridSpan w:val="2"/>
            <w:vAlign w:val="bottom"/>
          </w:tcPr>
          <w:p w:rsidR="007819A2" w:rsidRPr="008422B6" w:rsidRDefault="00815C79" w:rsidP="00615A29">
            <w:pPr>
              <w:rPr>
                <w:rFonts w:ascii="Arial" w:hAnsi="Arial" w:cs="Arial"/>
                <w:sz w:val="20"/>
                <w:szCs w:val="20"/>
              </w:rPr>
            </w:pP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921C9"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615A29">
              <w:rPr>
                <w:rFonts w:ascii="Arial" w:hAnsi="Arial" w:cs="Arial"/>
                <w:noProof/>
                <w:sz w:val="20"/>
                <w:szCs w:val="20"/>
                <w:shd w:val="clear" w:color="auto" w:fill="D9D9D9" w:themeFill="background1" w:themeFillShade="D9"/>
              </w:rPr>
              <w:t>Investment Planning</w:t>
            </w:r>
            <w:r w:rsidRPr="008422B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B70DF" w:rsidRPr="007819A2" w:rsidTr="00E31B7E">
        <w:trPr>
          <w:gridAfter w:val="1"/>
          <w:wAfter w:w="27" w:type="dxa"/>
          <w:trHeight w:val="1547"/>
          <w:jc w:val="center"/>
        </w:trPr>
        <w:tc>
          <w:tcPr>
            <w:tcW w:w="1850" w:type="dxa"/>
            <w:vAlign w:val="center"/>
          </w:tcPr>
          <w:p w:rsidR="00BB70DF" w:rsidRPr="00194B13" w:rsidRDefault="00BB70DF" w:rsidP="00BB70D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 Type</w:t>
            </w:r>
          </w:p>
        </w:tc>
        <w:tc>
          <w:tcPr>
            <w:tcW w:w="2700" w:type="dxa"/>
            <w:gridSpan w:val="2"/>
            <w:vAlign w:val="center"/>
          </w:tcPr>
          <w:p w:rsidR="00BB70DF" w:rsidRPr="009A5729" w:rsidRDefault="00BB70DF" w:rsidP="00BB70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B70DF" w:rsidRPr="009A5729" w:rsidRDefault="00815C79" w:rsidP="00BB7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</w:rPr>
              <w:t xml:space="preserve"> Credit</w:t>
            </w:r>
          </w:p>
          <w:p w:rsidR="00BB70DF" w:rsidRPr="009A5729" w:rsidRDefault="00BB70DF" w:rsidP="00BB70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B70DF" w:rsidRPr="00BB70DF" w:rsidRDefault="00815C79" w:rsidP="00BB70DF">
            <w:pPr>
              <w:ind w:left="252"/>
              <w:rPr>
                <w:rFonts w:ascii="Arial" w:hAnsi="Arial" w:cs="Arial"/>
                <w:i/>
                <w:sz w:val="18"/>
                <w:szCs w:val="18"/>
              </w:rPr>
            </w:pPr>
            <w:r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70DF"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BB70DF">
              <w:rPr>
                <w:rFonts w:ascii="Arial" w:hAnsi="Arial" w:cs="Arial"/>
                <w:i/>
                <w:sz w:val="18"/>
                <w:szCs w:val="18"/>
              </w:rPr>
              <w:t>Undergraduate</w:t>
            </w:r>
          </w:p>
          <w:p w:rsidR="00BB70DF" w:rsidRPr="00BB70DF" w:rsidRDefault="00BB70DF" w:rsidP="00BB70DF">
            <w:pPr>
              <w:ind w:left="252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70DF" w:rsidRPr="00BB70DF" w:rsidRDefault="00815C79" w:rsidP="00BB70DF">
            <w:pPr>
              <w:ind w:left="252"/>
              <w:rPr>
                <w:rFonts w:ascii="Arial" w:hAnsi="Arial" w:cs="Arial"/>
                <w:i/>
                <w:sz w:val="18"/>
                <w:szCs w:val="18"/>
              </w:rPr>
            </w:pPr>
            <w:r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BB70DF">
              <w:rPr>
                <w:rFonts w:ascii="Arial" w:hAnsi="Arial" w:cs="Arial"/>
                <w:i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BB70DF">
              <w:rPr>
                <w:rFonts w:ascii="Arial" w:hAnsi="Arial" w:cs="Arial"/>
                <w:i/>
                <w:sz w:val="18"/>
                <w:szCs w:val="18"/>
              </w:rPr>
              <w:t>Graduate</w:t>
            </w:r>
          </w:p>
          <w:p w:rsidR="00BB70DF" w:rsidRDefault="00BB70DF" w:rsidP="00BB70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57992" w:rsidRDefault="00815C79" w:rsidP="007579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</w:rPr>
              <w:t xml:space="preserve"> Noncredit</w:t>
            </w:r>
          </w:p>
          <w:p w:rsidR="00757992" w:rsidRPr="009A5729" w:rsidRDefault="00757992" w:rsidP="00BB70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BB70DF" w:rsidRPr="007819A2" w:rsidRDefault="00BB70DF" w:rsidP="00BB7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9A2">
              <w:rPr>
                <w:rFonts w:ascii="Arial" w:hAnsi="Arial" w:cs="Arial"/>
                <w:b/>
                <w:sz w:val="20"/>
                <w:szCs w:val="20"/>
              </w:rPr>
              <w:t>Delivery Method</w:t>
            </w:r>
          </w:p>
        </w:tc>
        <w:tc>
          <w:tcPr>
            <w:tcW w:w="3173" w:type="dxa"/>
            <w:vAlign w:val="center"/>
          </w:tcPr>
          <w:p w:rsidR="00BB70DF" w:rsidRPr="009A5729" w:rsidRDefault="00BB70DF" w:rsidP="00AB550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B70DF" w:rsidRPr="009A5729" w:rsidRDefault="00815C79" w:rsidP="00AB55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</w:rPr>
              <w:t>P (In-Person)</w:t>
            </w:r>
          </w:p>
          <w:p w:rsidR="00BB70DF" w:rsidRPr="009A5729" w:rsidRDefault="00BB70DF" w:rsidP="00AB550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B70DF" w:rsidRPr="009A5729" w:rsidRDefault="00815C79" w:rsidP="00AB55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</w:rPr>
              <w:t>CI (Classroom/Internet)</w:t>
            </w:r>
          </w:p>
          <w:p w:rsidR="00BB70DF" w:rsidRPr="009A5729" w:rsidRDefault="00BB70DF" w:rsidP="00AB550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B70DF" w:rsidRPr="00EB2EAA" w:rsidRDefault="00815C79" w:rsidP="00BB7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74ED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9A572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BB70DF" w:rsidRPr="009A5729">
              <w:rPr>
                <w:rFonts w:ascii="Arial" w:hAnsi="Arial" w:cs="Arial"/>
                <w:b/>
                <w:sz w:val="18"/>
                <w:szCs w:val="18"/>
              </w:rPr>
              <w:t>WB (Web-Based)</w:t>
            </w:r>
          </w:p>
        </w:tc>
      </w:tr>
    </w:tbl>
    <w:p w:rsidR="0077553F" w:rsidRPr="007A6CD5" w:rsidRDefault="0077553F" w:rsidP="00AB5507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517100" w:rsidRPr="007A6CD5" w:rsidRDefault="00517100" w:rsidP="00AB5507">
      <w:pPr>
        <w:spacing w:after="0" w:line="240" w:lineRule="auto"/>
        <w:ind w:left="-540"/>
        <w:rPr>
          <w:rFonts w:ascii="Arial" w:hAnsi="Arial" w:cs="Arial"/>
          <w:sz w:val="18"/>
          <w:szCs w:val="18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t>Class Description (Use the SIS 400 characters from catalog description)</w:t>
      </w:r>
    </w:p>
    <w:p w:rsidR="00C014C9" w:rsidRPr="008422B6" w:rsidRDefault="00815C79" w:rsidP="00615A29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 w:rsidRPr="00615A2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Provides the student with an understanding ofthe various types of securities traded in financialmarkets, investment theory and practice, portfolioconstruction and management, and investmentstrategies and tactics. Prerequisites: FinancialAccounting, Macroeconomics, Statistics.</w:t>
      </w:r>
      <w:r w:rsidR="00615A29" w:rsidRP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 xml:space="preserve">     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t>Learning Outcomes</w:t>
      </w:r>
    </w:p>
    <w:p w:rsidR="00C014C9" w:rsidRPr="008422B6" w:rsidRDefault="00815C79" w:rsidP="00AB5507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>Student should become knowledgeable about different investment choices available to clients, risjk tolerance measurements of clients, and asset allocation schemes.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t>Assessment Components</w:t>
      </w:r>
    </w:p>
    <w:p w:rsidR="00C014C9" w:rsidRPr="008422B6" w:rsidRDefault="00815C79" w:rsidP="00AB5507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>The tests worth 25% each and a stock analysis paper and Presentation worth 25%.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t>Required Text (include ISBN, specific edition)</w:t>
      </w:r>
    </w:p>
    <w:p w:rsidR="00C014C9" w:rsidRPr="008422B6" w:rsidRDefault="00815C79" w:rsidP="00AB5507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 w:rsidRP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>L. Gitman, M. Joehnk, S. Smart, Fundamentals of Investing, Prentice Hall, 2011, 12th Edition.</w:t>
      </w:r>
      <w:r w:rsid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 xml:space="preserve"> ISBN 0-136-11704-X.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t>Required Additional Resources and Technical Components</w:t>
      </w:r>
    </w:p>
    <w:p w:rsidR="00C014C9" w:rsidRPr="008422B6" w:rsidRDefault="00815C79" w:rsidP="00AB5507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>None.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:rsidR="00C014C9" w:rsidRPr="00C014C9" w:rsidRDefault="00C014C9" w:rsidP="00AB55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4C9">
        <w:rPr>
          <w:rFonts w:ascii="Arial" w:hAnsi="Arial" w:cs="Arial"/>
          <w:b/>
          <w:sz w:val="20"/>
          <w:szCs w:val="20"/>
        </w:rPr>
        <w:lastRenderedPageBreak/>
        <w:t>Other Class Expectations (for Classroom/Internet and Web-Based classes, specify any live (synchronous) meetings dates, times, delivery mode)</w:t>
      </w:r>
    </w:p>
    <w:p w:rsidR="00C014C9" w:rsidRPr="008422B6" w:rsidRDefault="00815C79" w:rsidP="00AB5507">
      <w:pPr>
        <w:spacing w:after="0" w:line="240" w:lineRule="auto"/>
        <w:ind w:left="-540" w:firstLine="36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21C9"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separate"/>
      </w:r>
      <w:r w:rsidR="00615A29">
        <w:rPr>
          <w:rFonts w:ascii="Arial" w:hAnsi="Arial" w:cs="Arial"/>
          <w:noProof/>
          <w:sz w:val="20"/>
          <w:szCs w:val="20"/>
          <w:shd w:val="clear" w:color="auto" w:fill="D9D9D9" w:themeFill="background1" w:themeFillShade="D9"/>
        </w:rPr>
        <w:t>None.</w:t>
      </w:r>
      <w:r w:rsidRPr="008422B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fldChar w:fldCharType="end"/>
      </w: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p w:rsidR="00C014C9" w:rsidRPr="00EB2EAA" w:rsidRDefault="00C014C9" w:rsidP="00AB5507">
      <w:pPr>
        <w:spacing w:after="0" w:line="240" w:lineRule="auto"/>
        <w:ind w:left="-180"/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</w:pPr>
    </w:p>
    <w:sectPr w:rsidR="00C014C9" w:rsidRPr="00EB2EAA" w:rsidSect="00F2399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D9" w:rsidRDefault="00174ED9">
      <w:pPr>
        <w:spacing w:after="0" w:line="240" w:lineRule="auto"/>
      </w:pPr>
      <w:r>
        <w:separator/>
      </w:r>
    </w:p>
  </w:endnote>
  <w:endnote w:type="continuationSeparator" w:id="0">
    <w:p w:rsidR="00174ED9" w:rsidRDefault="0017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E2" w:rsidRDefault="00815C79" w:rsidP="002A74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D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8E2" w:rsidRDefault="00174ED9" w:rsidP="00D338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E2" w:rsidRDefault="00815C79" w:rsidP="002A74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D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0DC">
      <w:rPr>
        <w:rStyle w:val="PageNumber"/>
        <w:noProof/>
      </w:rPr>
      <w:t>1</w:t>
    </w:r>
    <w:r>
      <w:rPr>
        <w:rStyle w:val="PageNumber"/>
      </w:rPr>
      <w:fldChar w:fldCharType="end"/>
    </w:r>
  </w:p>
  <w:p w:rsidR="002C145B" w:rsidRDefault="00EF3D32" w:rsidP="00D338E2">
    <w:pPr>
      <w:pStyle w:val="Footer"/>
      <w:ind w:right="360"/>
    </w:pPr>
    <w:r>
      <w:t>SCPS_</w:t>
    </w:r>
    <w:r w:rsidR="00637551">
      <w:t>Class_Overview</w:t>
    </w:r>
    <w:r w:rsidR="00D55CEE">
      <w:t>_</w:t>
    </w:r>
    <w:r w:rsidR="009B2AAF">
      <w:t>Template_</w:t>
    </w:r>
    <w:r w:rsidR="008422B6">
      <w:t>Fall</w:t>
    </w:r>
    <w:r w:rsidR="00D55CEE">
      <w:t>_12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D9" w:rsidRDefault="00174ED9">
      <w:pPr>
        <w:spacing w:after="0" w:line="240" w:lineRule="auto"/>
      </w:pPr>
      <w:r>
        <w:separator/>
      </w:r>
    </w:p>
  </w:footnote>
  <w:footnote w:type="continuationSeparator" w:id="0">
    <w:p w:rsidR="00174ED9" w:rsidRDefault="0017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7C36"/>
    <w:multiLevelType w:val="hybridMultilevel"/>
    <w:tmpl w:val="DDB60C8E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265E8"/>
    <w:multiLevelType w:val="hybridMultilevel"/>
    <w:tmpl w:val="8B0C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4E4"/>
    <w:multiLevelType w:val="hybridMultilevel"/>
    <w:tmpl w:val="81DA05F2"/>
    <w:lvl w:ilvl="0" w:tplc="E6DAD9D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D73258B"/>
    <w:multiLevelType w:val="hybridMultilevel"/>
    <w:tmpl w:val="F6667122"/>
    <w:lvl w:ilvl="0" w:tplc="0409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890E50"/>
    <w:multiLevelType w:val="hybridMultilevel"/>
    <w:tmpl w:val="32BE1E94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16950"/>
    <w:multiLevelType w:val="hybridMultilevel"/>
    <w:tmpl w:val="46A45E6C"/>
    <w:lvl w:ilvl="0" w:tplc="BC28016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42994"/>
    <w:multiLevelType w:val="hybridMultilevel"/>
    <w:tmpl w:val="7B78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863B9"/>
    <w:multiLevelType w:val="hybridMultilevel"/>
    <w:tmpl w:val="1B1415CA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5B3A30"/>
    <w:multiLevelType w:val="hybridMultilevel"/>
    <w:tmpl w:val="2520A1E2"/>
    <w:lvl w:ilvl="0" w:tplc="D73CC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Full" w:cryptAlgorithmClass="hash" w:cryptAlgorithmType="typeAny" w:cryptAlgorithmSid="4" w:cryptSpinCount="100000" w:hash="v2vi7j6O5qSla3AT2M0FeMrMGcs=" w:salt="I1noMq5ayWsVp4i+V9qbU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7EE"/>
    <w:rsid w:val="00073E9F"/>
    <w:rsid w:val="0013174B"/>
    <w:rsid w:val="00174ED9"/>
    <w:rsid w:val="00194B13"/>
    <w:rsid w:val="001B5374"/>
    <w:rsid w:val="001F120B"/>
    <w:rsid w:val="00223823"/>
    <w:rsid w:val="00247C90"/>
    <w:rsid w:val="002A4830"/>
    <w:rsid w:val="002A6349"/>
    <w:rsid w:val="002F15A4"/>
    <w:rsid w:val="00313668"/>
    <w:rsid w:val="00343D66"/>
    <w:rsid w:val="00364499"/>
    <w:rsid w:val="0036570E"/>
    <w:rsid w:val="003C34E7"/>
    <w:rsid w:val="003C3D32"/>
    <w:rsid w:val="003D7FE4"/>
    <w:rsid w:val="003F330F"/>
    <w:rsid w:val="00405950"/>
    <w:rsid w:val="0042752D"/>
    <w:rsid w:val="004E6B97"/>
    <w:rsid w:val="00517100"/>
    <w:rsid w:val="00555566"/>
    <w:rsid w:val="00570CA2"/>
    <w:rsid w:val="005921C9"/>
    <w:rsid w:val="005942A4"/>
    <w:rsid w:val="005B637B"/>
    <w:rsid w:val="005B6852"/>
    <w:rsid w:val="00615A29"/>
    <w:rsid w:val="00637551"/>
    <w:rsid w:val="00664753"/>
    <w:rsid w:val="006977EE"/>
    <w:rsid w:val="006D57B4"/>
    <w:rsid w:val="0070289C"/>
    <w:rsid w:val="00751991"/>
    <w:rsid w:val="0075239C"/>
    <w:rsid w:val="00757992"/>
    <w:rsid w:val="0077553F"/>
    <w:rsid w:val="007819A2"/>
    <w:rsid w:val="007A6CD5"/>
    <w:rsid w:val="00815C79"/>
    <w:rsid w:val="00827FC0"/>
    <w:rsid w:val="00842053"/>
    <w:rsid w:val="008422B6"/>
    <w:rsid w:val="008623A3"/>
    <w:rsid w:val="00877B54"/>
    <w:rsid w:val="008962DC"/>
    <w:rsid w:val="008B24F6"/>
    <w:rsid w:val="008C2031"/>
    <w:rsid w:val="008E2845"/>
    <w:rsid w:val="00910250"/>
    <w:rsid w:val="009345B9"/>
    <w:rsid w:val="009451C5"/>
    <w:rsid w:val="009A39C4"/>
    <w:rsid w:val="009A5729"/>
    <w:rsid w:val="009B2AAF"/>
    <w:rsid w:val="009D06B5"/>
    <w:rsid w:val="00A159F9"/>
    <w:rsid w:val="00A3458E"/>
    <w:rsid w:val="00A600DC"/>
    <w:rsid w:val="00A72342"/>
    <w:rsid w:val="00A723B8"/>
    <w:rsid w:val="00AB5507"/>
    <w:rsid w:val="00AB5D34"/>
    <w:rsid w:val="00AB6FAE"/>
    <w:rsid w:val="00AE0517"/>
    <w:rsid w:val="00B13F07"/>
    <w:rsid w:val="00BA2CAA"/>
    <w:rsid w:val="00BB70DF"/>
    <w:rsid w:val="00BF0E87"/>
    <w:rsid w:val="00BF6475"/>
    <w:rsid w:val="00C014C9"/>
    <w:rsid w:val="00C42A73"/>
    <w:rsid w:val="00C57498"/>
    <w:rsid w:val="00C9354E"/>
    <w:rsid w:val="00CB4A96"/>
    <w:rsid w:val="00CD20A5"/>
    <w:rsid w:val="00CE5CC7"/>
    <w:rsid w:val="00CF1666"/>
    <w:rsid w:val="00D15579"/>
    <w:rsid w:val="00D55CEE"/>
    <w:rsid w:val="00E04945"/>
    <w:rsid w:val="00E31B7E"/>
    <w:rsid w:val="00E54D6F"/>
    <w:rsid w:val="00EB2EAA"/>
    <w:rsid w:val="00EF3D32"/>
    <w:rsid w:val="00F0056C"/>
    <w:rsid w:val="00F2399B"/>
    <w:rsid w:val="00F54942"/>
    <w:rsid w:val="00F57247"/>
    <w:rsid w:val="00FB7F6E"/>
    <w:rsid w:val="00FE7F9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3A7EA2-184E-4317-99C3-F9ABB1A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79"/>
  </w:style>
  <w:style w:type="paragraph" w:styleId="Heading1">
    <w:name w:val="heading 1"/>
    <w:basedOn w:val="Normal"/>
    <w:next w:val="Normal"/>
    <w:link w:val="Heading1Char"/>
    <w:qFormat/>
    <w:rsid w:val="00C42A7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  <w:style w:type="character" w:styleId="Hyperlink">
    <w:name w:val="Hyperlink"/>
    <w:basedOn w:val="DefaultParagraphFont"/>
    <w:rsid w:val="00CE5C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42A73"/>
    <w:rPr>
      <w:rFonts w:ascii="Times New Roman" w:eastAsia="Arial Unicode MS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42A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2A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C42A73"/>
  </w:style>
  <w:style w:type="paragraph" w:styleId="ListParagraph">
    <w:name w:val="List Paragraph"/>
    <w:basedOn w:val="Normal"/>
    <w:uiPriority w:val="34"/>
    <w:qFormat/>
    <w:rsid w:val="00C0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3591-CE5A-4CA2-8B56-2A4A384D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and Lee University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Hunger</dc:creator>
  <cp:lastModifiedBy>Richey</cp:lastModifiedBy>
  <cp:revision>2</cp:revision>
  <cp:lastPrinted>2012-02-01T16:00:00Z</cp:lastPrinted>
  <dcterms:created xsi:type="dcterms:W3CDTF">2015-05-04T14:12:00Z</dcterms:created>
  <dcterms:modified xsi:type="dcterms:W3CDTF">2015-05-04T14:12:00Z</dcterms:modified>
</cp:coreProperties>
</file>